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26A17">
      <w:pPr>
        <w:tabs>
          <w:tab w:val="left" w:pos="1620"/>
        </w:tabs>
        <w:autoSpaceDE w:val="0"/>
        <w:autoSpaceDN w:val="0"/>
        <w:adjustRightInd w:val="0"/>
        <w:spacing w:line="360" w:lineRule="auto"/>
        <w:jc w:val="left"/>
        <w:rPr>
          <w:rFonts w:hint="default" w:ascii="宋体" w:hAnsi="宋体" w:eastAsia="宋体" w:cs="宋体"/>
          <w:color w:val="000000" w:themeColor="text1"/>
          <w:kern w:val="0"/>
          <w:sz w:val="24"/>
          <w:szCs w:val="24"/>
          <w:highlight w:val="yellow"/>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证券代码：002221          证券简称：东华能源          公告编号：</w:t>
      </w:r>
      <w:r>
        <w:rPr>
          <w:rFonts w:hint="eastAsia" w:ascii="宋体" w:hAnsi="宋体" w:cs="宋体"/>
          <w:color w:val="000000" w:themeColor="text1"/>
          <w:kern w:val="0"/>
          <w:sz w:val="24"/>
          <w:szCs w:val="24"/>
          <w:highlight w:val="none"/>
          <w:lang w:val="en-US" w:eastAsia="zh-CN"/>
          <w14:textFill>
            <w14:solidFill>
              <w14:schemeClr w14:val="tx1"/>
            </w14:solidFill>
          </w14:textFill>
        </w:rPr>
        <w:t>2025-010</w:t>
      </w:r>
    </w:p>
    <w:p w14:paraId="2C98743D">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drawing>
          <wp:inline distT="0" distB="0" distL="0" distR="0">
            <wp:extent cx="1075690" cy="323850"/>
            <wp:effectExtent l="0" t="0" r="1016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1075690" cy="323850"/>
                    </a:xfrm>
                    <a:prstGeom prst="rect">
                      <a:avLst/>
                    </a:prstGeom>
                    <a:noFill/>
                    <a:ln w="9525">
                      <a:noFill/>
                      <a:miter lim="800000"/>
                      <a:headEnd/>
                      <a:tailEnd/>
                    </a:ln>
                  </pic:spPr>
                </pic:pic>
              </a:graphicData>
            </a:graphic>
          </wp:inline>
        </w:drawing>
      </w:r>
    </w:p>
    <w:p w14:paraId="346A4BF2">
      <w:pPr>
        <w:spacing w:line="480" w:lineRule="auto"/>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东华能源股份有限公司</w:t>
      </w:r>
    </w:p>
    <w:p w14:paraId="17D92460">
      <w:pPr>
        <w:keepNext w:val="0"/>
        <w:keepLines w:val="0"/>
        <w:widowControl/>
        <w:suppressLineNumbers w:val="0"/>
        <w:jc w:val="center"/>
        <w:rPr>
          <w:rFonts w:hint="default" w:ascii="宋体" w:hAnsi="宋体" w:eastAsia="宋体" w:cs="宋体"/>
          <w:b/>
          <w:bCs/>
          <w:color w:val="000000"/>
          <w:kern w:val="0"/>
          <w:sz w:val="30"/>
          <w:szCs w:val="30"/>
          <w:lang w:val="en-US" w:eastAsia="zh-CN" w:bidi="ar"/>
        </w:rPr>
      </w:pPr>
      <w:r>
        <w:rPr>
          <w:rFonts w:hint="eastAsia" w:ascii="宋体" w:hAnsi="宋体" w:eastAsia="宋体" w:cs="宋体"/>
          <w:b/>
          <w:bCs/>
          <w:color w:val="000000"/>
          <w:kern w:val="0"/>
          <w:sz w:val="30"/>
          <w:szCs w:val="30"/>
          <w:lang w:val="en-US" w:eastAsia="zh-CN" w:bidi="ar"/>
        </w:rPr>
        <w:t>关于受托管理控股股东所属公司股权暨关联交易</w:t>
      </w:r>
      <w:r>
        <w:rPr>
          <w:rFonts w:hint="eastAsia" w:ascii="宋体" w:hAnsi="宋体" w:cs="宋体"/>
          <w:b/>
          <w:bCs/>
          <w:color w:val="000000"/>
          <w:kern w:val="0"/>
          <w:sz w:val="30"/>
          <w:szCs w:val="30"/>
          <w:lang w:val="en-US" w:eastAsia="zh-CN" w:bidi="ar"/>
        </w:rPr>
        <w:t>的公告</w:t>
      </w:r>
    </w:p>
    <w:p w14:paraId="12426E60">
      <w:pPr>
        <w:keepNext w:val="0"/>
        <w:keepLines w:val="0"/>
        <w:widowControl/>
        <w:suppressLineNumbers w:val="0"/>
        <w:jc w:val="center"/>
        <w:rPr>
          <w:rFonts w:hint="eastAsia" w:ascii="宋体" w:hAnsi="宋体" w:eastAsia="宋体" w:cs="宋体"/>
          <w:b/>
          <w:bCs/>
          <w:color w:val="000000"/>
          <w:kern w:val="0"/>
          <w:sz w:val="30"/>
          <w:szCs w:val="30"/>
          <w:lang w:val="en-US" w:eastAsia="zh-CN" w:bidi="ar"/>
        </w:rPr>
      </w:pPr>
    </w:p>
    <w:p w14:paraId="5B357CB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rPr>
        <w:t>本公司及董事会全体成员保证信息披露内容的真实、准确、完整，没有虚假记载、误导性陈述或重大遗漏。</w:t>
      </w:r>
    </w:p>
    <w:p w14:paraId="0D024308">
      <w:pPr>
        <w:spacing w:line="360" w:lineRule="auto"/>
        <w:ind w:firstLine="482" w:firstLineChars="200"/>
        <w:rPr>
          <w:rFonts w:hint="eastAsia" w:ascii="宋体" w:hAnsi="宋体" w:cs="宋体"/>
          <w:b/>
          <w:sz w:val="24"/>
        </w:rPr>
      </w:pPr>
      <w:r>
        <w:rPr>
          <w:rFonts w:hint="eastAsia" w:ascii="宋体" w:hAnsi="宋体" w:cs="宋体"/>
          <w:b/>
          <w:sz w:val="24"/>
        </w:rPr>
        <w:t>特别风险提示：</w:t>
      </w:r>
    </w:p>
    <w:p w14:paraId="7D402868">
      <w:pPr>
        <w:spacing w:line="360" w:lineRule="auto"/>
        <w:ind w:firstLine="482" w:firstLineChars="200"/>
        <w:rPr>
          <w:rFonts w:hint="eastAsia" w:ascii="宋体" w:hAnsi="宋体"/>
          <w:b/>
          <w:bCs w:val="0"/>
          <w:color w:val="auto"/>
          <w:sz w:val="24"/>
          <w:highlight w:val="none"/>
          <w:shd w:val="clear" w:color="auto" w:fill="auto"/>
          <w:lang w:val="en-US" w:eastAsia="zh-CN"/>
        </w:rPr>
      </w:pPr>
      <w:r>
        <w:rPr>
          <w:rFonts w:hint="eastAsia" w:ascii="宋体" w:hAnsi="宋体" w:cs="宋体"/>
          <w:b/>
          <w:bCs w:val="0"/>
          <w:sz w:val="24"/>
          <w:lang w:val="en-US" w:eastAsia="zh-CN"/>
        </w:rPr>
        <w:t>1、东华能源股份有限公司（以下简称“公司”或“东华能源”）</w:t>
      </w:r>
      <w:r>
        <w:rPr>
          <w:rFonts w:hint="eastAsia" w:ascii="宋体" w:hAnsi="宋体" w:cs="宋体"/>
          <w:b/>
          <w:bCs w:val="0"/>
          <w:spacing w:val="-1"/>
          <w:sz w:val="24"/>
          <w:szCs w:val="24"/>
          <w:lang w:val="en-US" w:eastAsia="zh-CN"/>
        </w:rPr>
        <w:t>控股股东东华石油（长江）有限公司（以下简称“东华石油”）拟委托公司管理其持有</w:t>
      </w:r>
      <w:r>
        <w:rPr>
          <w:rFonts w:hint="eastAsia"/>
          <w:b/>
          <w:bCs w:val="0"/>
          <w:sz w:val="24"/>
          <w:szCs w:val="24"/>
          <w:lang w:val="en-US" w:eastAsia="zh-CN"/>
        </w:rPr>
        <w:t>MATHESON ENERGY PTE. LTD.</w:t>
      </w:r>
      <w:r>
        <w:rPr>
          <w:rFonts w:hint="eastAsia" w:ascii="宋体" w:hAnsi="宋体" w:cs="宋体"/>
          <w:b/>
          <w:bCs w:val="0"/>
          <w:spacing w:val="-1"/>
          <w:sz w:val="24"/>
          <w:szCs w:val="24"/>
          <w:lang w:val="en-US" w:eastAsia="zh-CN"/>
        </w:rPr>
        <w:t>（以下简称“马森能源”）</w:t>
      </w:r>
      <w:r>
        <w:rPr>
          <w:rFonts w:hint="eastAsia" w:ascii="宋体" w:hAnsi="宋体"/>
          <w:b/>
          <w:bCs w:val="0"/>
          <w:color w:val="auto"/>
          <w:sz w:val="24"/>
          <w:highlight w:val="none"/>
          <w:shd w:val="clear" w:color="auto" w:fill="auto"/>
          <w:lang w:val="en-US" w:eastAsia="zh-CN"/>
        </w:rPr>
        <w:t>的100%股权。</w:t>
      </w:r>
    </w:p>
    <w:p w14:paraId="605EDCCD">
      <w:pPr>
        <w:keepNext w:val="0"/>
        <w:keepLines w:val="0"/>
        <w:pageBreakBefore w:val="0"/>
        <w:kinsoku/>
        <w:wordWrap/>
        <w:overflowPunct/>
        <w:topLinePunct w:val="0"/>
        <w:autoSpaceDE/>
        <w:autoSpaceDN/>
        <w:bidi w:val="0"/>
        <w:adjustRightInd/>
        <w:snapToGrid/>
        <w:spacing w:line="360" w:lineRule="auto"/>
        <w:ind w:left="23" w:right="-88" w:rightChars="0" w:firstLine="478" w:firstLineChars="200"/>
        <w:textAlignment w:val="auto"/>
        <w:rPr>
          <w:rFonts w:hint="eastAsia" w:ascii="宋体" w:hAnsi="宋体" w:cs="宋体"/>
          <w:b/>
          <w:bCs w:val="0"/>
          <w:spacing w:val="-1"/>
          <w:sz w:val="24"/>
          <w:szCs w:val="24"/>
          <w:lang w:val="en-US" w:eastAsia="zh-CN"/>
        </w:rPr>
      </w:pPr>
      <w:r>
        <w:rPr>
          <w:rFonts w:hint="eastAsia" w:ascii="宋体" w:hAnsi="宋体" w:cs="宋体"/>
          <w:b/>
          <w:bCs w:val="0"/>
          <w:spacing w:val="-1"/>
          <w:sz w:val="24"/>
          <w:szCs w:val="24"/>
          <w:lang w:val="en-US" w:eastAsia="zh-CN"/>
        </w:rPr>
        <w:t>2、本次受托管理不发生任何资产权属的转移，不会导致公司合并报表范围变更。基于新加坡马森能源经营良好，与公司产业链互补明显，可能对公司财务状况和经营成果造成积极影响。</w:t>
      </w:r>
    </w:p>
    <w:p w14:paraId="7FD1E1A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lang w:val="en-US" w:eastAsia="zh-CN"/>
        </w:rPr>
      </w:pPr>
    </w:p>
    <w:p w14:paraId="2F34881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sz w:val="24"/>
          <w:lang w:val="en-US" w:eastAsia="zh-CN"/>
        </w:rPr>
      </w:pPr>
      <w:r>
        <w:rPr>
          <w:rFonts w:hint="eastAsia" w:ascii="宋体" w:hAnsi="宋体" w:cs="宋体"/>
          <w:b w:val="0"/>
          <w:bCs/>
          <w:sz w:val="24"/>
          <w:lang w:val="en-US" w:eastAsia="zh-CN"/>
        </w:rPr>
        <w:t>公司于2025年2月23日收到控股股东</w:t>
      </w:r>
      <w:r>
        <w:rPr>
          <w:rFonts w:hint="eastAsia" w:ascii="宋体" w:hAnsi="宋体" w:cs="宋体"/>
          <w:b w:val="0"/>
          <w:bCs/>
          <w:spacing w:val="-1"/>
          <w:sz w:val="24"/>
          <w:szCs w:val="24"/>
          <w:lang w:val="en-US" w:eastAsia="zh-CN"/>
        </w:rPr>
        <w:t>东华石油（长江）有限公司</w:t>
      </w:r>
      <w:r>
        <w:rPr>
          <w:rFonts w:hint="eastAsia" w:ascii="宋体" w:hAnsi="宋体" w:cs="宋体"/>
          <w:b w:val="0"/>
          <w:bCs/>
          <w:sz w:val="24"/>
          <w:lang w:val="en-US" w:eastAsia="zh-CN"/>
        </w:rPr>
        <w:t>《关于增加东华能源股份有限公司2025年第一次临时股东大会临时提案的函》，东华石油提议将《关于受托管理控股股东所属公司股权暨关联交易的议案》提交公司于2025年3月6日召开的2025年第一次临时股东大会审议。议案具体内容如下：</w:t>
      </w:r>
    </w:p>
    <w:p w14:paraId="5C78222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0"/>
      </w:pPr>
      <w:r>
        <w:rPr>
          <w:rFonts w:hint="eastAsia" w:ascii="宋体" w:hAnsi="宋体" w:eastAsia="宋体" w:cs="宋体"/>
          <w:b/>
          <w:bCs/>
          <w:color w:val="000000"/>
          <w:kern w:val="0"/>
          <w:sz w:val="24"/>
          <w:szCs w:val="24"/>
          <w:lang w:val="en-US" w:eastAsia="zh-CN" w:bidi="ar"/>
        </w:rPr>
        <w:t>一、</w:t>
      </w:r>
      <w:r>
        <w:rPr>
          <w:rFonts w:hint="eastAsia" w:ascii="宋体" w:hAnsi="宋体" w:cs="宋体"/>
          <w:b/>
          <w:bCs/>
          <w:color w:val="000000"/>
          <w:kern w:val="0"/>
          <w:sz w:val="24"/>
          <w:szCs w:val="24"/>
          <w:lang w:val="en-US" w:eastAsia="zh-CN" w:bidi="ar"/>
        </w:rPr>
        <w:t>交易</w:t>
      </w:r>
      <w:r>
        <w:rPr>
          <w:rFonts w:hint="eastAsia" w:ascii="宋体" w:hAnsi="宋体" w:eastAsia="宋体" w:cs="宋体"/>
          <w:b/>
          <w:bCs/>
          <w:color w:val="000000"/>
          <w:kern w:val="0"/>
          <w:sz w:val="24"/>
          <w:szCs w:val="24"/>
          <w:lang w:val="en-US" w:eastAsia="zh-CN" w:bidi="ar"/>
        </w:rPr>
        <w:t>概述</w:t>
      </w:r>
    </w:p>
    <w:p w14:paraId="07617ED4">
      <w:pPr>
        <w:spacing w:line="360" w:lineRule="auto"/>
        <w:ind w:firstLine="482" w:firstLineChars="200"/>
        <w:outlineLvl w:val="1"/>
        <w:rPr>
          <w:rFonts w:hint="eastAsia" w:ascii="宋体" w:hAnsi="宋体" w:eastAsia="宋体" w:cs="宋体"/>
          <w:b/>
          <w:bCs/>
          <w:sz w:val="24"/>
          <w:lang w:eastAsia="zh-CN"/>
        </w:rPr>
      </w:pPr>
      <w:r>
        <w:rPr>
          <w:rFonts w:hint="eastAsia" w:ascii="宋体" w:hAnsi="宋体" w:cs="宋体"/>
          <w:b/>
          <w:sz w:val="24"/>
        </w:rPr>
        <w:t>（</w:t>
      </w:r>
      <w:r>
        <w:rPr>
          <w:rFonts w:hint="eastAsia" w:ascii="宋体" w:hAnsi="宋体" w:cs="宋体"/>
          <w:b/>
          <w:sz w:val="24"/>
          <w:lang w:val="en-US" w:eastAsia="zh-CN"/>
        </w:rPr>
        <w:t>一</w:t>
      </w:r>
      <w:r>
        <w:rPr>
          <w:rFonts w:hint="eastAsia" w:ascii="宋体" w:hAnsi="宋体" w:cs="宋体"/>
          <w:b/>
          <w:sz w:val="24"/>
        </w:rPr>
        <w:t>）</w:t>
      </w:r>
      <w:r>
        <w:rPr>
          <w:rFonts w:hint="eastAsia" w:ascii="宋体" w:hAnsi="宋体" w:cs="宋体"/>
          <w:b/>
          <w:sz w:val="24"/>
          <w:lang w:val="en-US" w:eastAsia="zh-CN"/>
        </w:rPr>
        <w:t>基本情况</w:t>
      </w:r>
    </w:p>
    <w:p w14:paraId="1968A228">
      <w:pPr>
        <w:keepNext w:val="0"/>
        <w:keepLines w:val="0"/>
        <w:pageBreakBefore w:val="0"/>
        <w:kinsoku/>
        <w:wordWrap/>
        <w:overflowPunct/>
        <w:topLinePunct w:val="0"/>
        <w:autoSpaceDE/>
        <w:autoSpaceDN/>
        <w:bidi w:val="0"/>
        <w:adjustRightInd/>
        <w:snapToGrid/>
        <w:spacing w:line="360" w:lineRule="auto"/>
        <w:ind w:left="23" w:right="-88" w:rightChars="0" w:firstLine="480" w:firstLineChars="200"/>
        <w:textAlignment w:val="auto"/>
        <w:rPr>
          <w:rFonts w:hint="eastAsia" w:ascii="宋体" w:hAnsi="宋体"/>
          <w:color w:val="auto"/>
          <w:sz w:val="24"/>
          <w:highlight w:val="none"/>
          <w:shd w:val="clear" w:color="auto" w:fill="auto"/>
          <w:lang w:val="en-US" w:eastAsia="zh-CN"/>
        </w:rPr>
      </w:pPr>
      <w:r>
        <w:rPr>
          <w:rFonts w:hint="eastAsia" w:ascii="宋体" w:hAnsi="宋体"/>
          <w:color w:val="auto"/>
          <w:sz w:val="24"/>
          <w:highlight w:val="none"/>
          <w:shd w:val="clear" w:color="auto" w:fill="auto"/>
          <w:lang w:val="en-US" w:eastAsia="zh-CN"/>
        </w:rPr>
        <w:t>为了加快碳三全产业链的打造，为了减少东华能源并购重组的潜在风险，</w:t>
      </w:r>
      <w:r>
        <w:rPr>
          <w:rFonts w:hint="eastAsia" w:ascii="宋体" w:hAnsi="宋体" w:cs="宋体"/>
          <w:spacing w:val="-1"/>
          <w:sz w:val="24"/>
          <w:szCs w:val="24"/>
          <w:lang w:val="en-US" w:eastAsia="zh-CN"/>
        </w:rPr>
        <w:t>同时减少关联交易、避免同业竞争，在控股</w:t>
      </w:r>
      <w:r>
        <w:rPr>
          <w:rFonts w:hint="eastAsia" w:ascii="宋体" w:hAnsi="宋体"/>
          <w:color w:val="auto"/>
          <w:sz w:val="24"/>
          <w:highlight w:val="none"/>
          <w:shd w:val="clear" w:color="auto" w:fill="auto"/>
          <w:lang w:val="en-US" w:eastAsia="zh-CN"/>
        </w:rPr>
        <w:t>股东理解和支持下，东华能源</w:t>
      </w:r>
      <w:r>
        <w:rPr>
          <w:rFonts w:hint="eastAsia" w:ascii="宋体" w:hAnsi="宋体" w:cs="宋体"/>
          <w:spacing w:val="-1"/>
          <w:sz w:val="24"/>
          <w:szCs w:val="24"/>
          <w:lang w:val="en-US" w:eastAsia="zh-CN"/>
        </w:rPr>
        <w:t>拟与东华石油（长江）有限公司及其控制的</w:t>
      </w:r>
      <w:r>
        <w:rPr>
          <w:rFonts w:hint="eastAsia"/>
          <w:sz w:val="24"/>
          <w:szCs w:val="24"/>
          <w:lang w:val="en-US" w:eastAsia="zh-CN"/>
        </w:rPr>
        <w:t>MATHESON ENERGY PTE. LTD.</w:t>
      </w:r>
      <w:r>
        <w:rPr>
          <w:rFonts w:hint="eastAsia" w:ascii="宋体" w:hAnsi="宋体" w:cs="宋体"/>
          <w:spacing w:val="-1"/>
          <w:sz w:val="24"/>
          <w:szCs w:val="24"/>
          <w:lang w:val="en-US" w:eastAsia="zh-CN"/>
        </w:rPr>
        <w:t>签署《委托管理协议》。由东华能源受托管理东华石油（长江）有限公司持有马森能</w:t>
      </w:r>
      <w:r>
        <w:rPr>
          <w:rFonts w:hint="eastAsia" w:ascii="宋体" w:hAnsi="宋体"/>
          <w:color w:val="auto"/>
          <w:sz w:val="24"/>
          <w:highlight w:val="none"/>
          <w:shd w:val="clear" w:color="auto" w:fill="auto"/>
          <w:lang w:val="en-US" w:eastAsia="zh-CN"/>
        </w:rPr>
        <w:t>源的100%股权。</w:t>
      </w:r>
    </w:p>
    <w:p w14:paraId="7F5086D0">
      <w:pPr>
        <w:keepNext w:val="0"/>
        <w:keepLines w:val="0"/>
        <w:pageBreakBefore w:val="0"/>
        <w:kinsoku/>
        <w:wordWrap/>
        <w:overflowPunct/>
        <w:topLinePunct w:val="0"/>
        <w:autoSpaceDE/>
        <w:autoSpaceDN/>
        <w:bidi w:val="0"/>
        <w:adjustRightInd/>
        <w:snapToGrid/>
        <w:spacing w:line="360" w:lineRule="auto"/>
        <w:ind w:left="23" w:right="-88" w:rightChars="0" w:firstLine="480" w:firstLineChars="200"/>
        <w:textAlignment w:val="auto"/>
        <w:rPr>
          <w:rFonts w:hint="eastAsia" w:ascii="宋体" w:hAnsi="宋体"/>
          <w:color w:val="auto"/>
          <w:sz w:val="24"/>
          <w:highlight w:val="none"/>
          <w:shd w:val="clear" w:color="auto" w:fill="auto"/>
          <w:lang w:val="en-US" w:eastAsia="zh-CN"/>
        </w:rPr>
      </w:pPr>
      <w:r>
        <w:rPr>
          <w:rFonts w:hint="default" w:ascii="宋体" w:hAnsi="宋体"/>
          <w:color w:val="auto"/>
          <w:sz w:val="24"/>
          <w:highlight w:val="none"/>
          <w:shd w:val="clear" w:color="auto" w:fill="auto"/>
          <w:lang w:val="en-US" w:eastAsia="zh-CN"/>
        </w:rPr>
        <w:t>委托管理期间</w:t>
      </w:r>
      <w:r>
        <w:rPr>
          <w:rFonts w:hint="eastAsia" w:ascii="宋体" w:hAnsi="宋体"/>
          <w:color w:val="auto"/>
          <w:sz w:val="24"/>
          <w:highlight w:val="none"/>
          <w:shd w:val="clear" w:color="auto" w:fill="auto"/>
          <w:lang w:val="en-US" w:eastAsia="zh-CN"/>
        </w:rPr>
        <w:t>，东华能源负责马森能源及其</w:t>
      </w:r>
      <w:r>
        <w:rPr>
          <w:rFonts w:hint="eastAsia" w:ascii="宋体" w:hAnsi="宋体"/>
          <w:sz w:val="24"/>
          <w:highlight w:val="none"/>
          <w:lang w:val="en-US" w:eastAsia="zh-CN"/>
        </w:rPr>
        <w:t>下属控股</w:t>
      </w:r>
      <w:r>
        <w:rPr>
          <w:rFonts w:hint="eastAsia" w:ascii="宋体" w:hAnsi="宋体"/>
          <w:color w:val="auto"/>
          <w:sz w:val="24"/>
          <w:highlight w:val="none"/>
          <w:shd w:val="clear" w:color="auto" w:fill="auto"/>
          <w:lang w:val="en-US" w:eastAsia="zh-CN"/>
        </w:rPr>
        <w:t>子公司的</w:t>
      </w:r>
      <w:r>
        <w:rPr>
          <w:rFonts w:hint="default" w:ascii="宋体" w:hAnsi="宋体"/>
          <w:color w:val="auto"/>
          <w:sz w:val="24"/>
          <w:highlight w:val="none"/>
          <w:shd w:val="clear" w:color="auto" w:fill="auto"/>
          <w:lang w:val="en-US" w:eastAsia="zh-CN"/>
        </w:rPr>
        <w:t>业务管理、人事管理、财务管理</w:t>
      </w:r>
      <w:r>
        <w:rPr>
          <w:rFonts w:hint="eastAsia" w:ascii="宋体" w:hAnsi="宋体"/>
          <w:color w:val="auto"/>
          <w:sz w:val="24"/>
          <w:highlight w:val="none"/>
          <w:shd w:val="clear" w:color="auto" w:fill="auto"/>
          <w:lang w:val="en-US" w:eastAsia="zh-CN"/>
        </w:rPr>
        <w:t>、资金管理</w:t>
      </w:r>
      <w:r>
        <w:rPr>
          <w:rFonts w:hint="default" w:ascii="宋体" w:hAnsi="宋体"/>
          <w:color w:val="auto"/>
          <w:sz w:val="24"/>
          <w:highlight w:val="none"/>
          <w:shd w:val="clear" w:color="auto" w:fill="auto"/>
          <w:lang w:val="en-US" w:eastAsia="zh-CN"/>
        </w:rPr>
        <w:t>等一切经营活动</w:t>
      </w:r>
      <w:r>
        <w:rPr>
          <w:rFonts w:hint="eastAsia" w:ascii="宋体" w:hAnsi="宋体"/>
          <w:color w:val="auto"/>
          <w:sz w:val="24"/>
          <w:highlight w:val="none"/>
          <w:shd w:val="clear" w:color="auto" w:fill="auto"/>
          <w:lang w:val="en-US" w:eastAsia="zh-CN"/>
        </w:rPr>
        <w:t>。</w:t>
      </w:r>
    </w:p>
    <w:p w14:paraId="654D0694">
      <w:pPr>
        <w:keepNext w:val="0"/>
        <w:keepLines w:val="0"/>
        <w:pageBreakBefore w:val="0"/>
        <w:kinsoku/>
        <w:wordWrap/>
        <w:overflowPunct/>
        <w:topLinePunct w:val="0"/>
        <w:autoSpaceDE/>
        <w:autoSpaceDN/>
        <w:bidi w:val="0"/>
        <w:adjustRightInd/>
        <w:snapToGrid/>
        <w:spacing w:line="360" w:lineRule="auto"/>
        <w:ind w:left="23" w:right="-88" w:rightChars="0" w:firstLine="480" w:firstLineChars="200"/>
        <w:textAlignment w:val="auto"/>
        <w:rPr>
          <w:rFonts w:hint="default" w:ascii="宋体" w:hAnsi="宋体"/>
          <w:color w:val="auto"/>
          <w:sz w:val="24"/>
          <w:highlight w:val="none"/>
          <w:shd w:val="clear" w:color="auto" w:fill="auto"/>
          <w:lang w:val="en-US" w:eastAsia="zh-CN"/>
        </w:rPr>
      </w:pPr>
      <w:r>
        <w:rPr>
          <w:rFonts w:hint="eastAsia" w:ascii="宋体" w:hAnsi="宋体"/>
          <w:color w:val="auto"/>
          <w:sz w:val="24"/>
          <w:highlight w:val="none"/>
          <w:shd w:val="clear" w:color="auto" w:fill="auto"/>
          <w:lang w:val="en-US" w:eastAsia="zh-CN"/>
        </w:rPr>
        <w:t>委托管理期间，控股股东协议承诺，将马森能源盈利的80%以托管费方式支付给公司，马森能源亏损则由控股股东承担。</w:t>
      </w:r>
    </w:p>
    <w:p w14:paraId="3EE96F9E">
      <w:pPr>
        <w:keepNext w:val="0"/>
        <w:keepLines w:val="0"/>
        <w:pageBreakBefore w:val="0"/>
        <w:kinsoku/>
        <w:wordWrap/>
        <w:overflowPunct/>
        <w:topLinePunct w:val="0"/>
        <w:autoSpaceDE/>
        <w:autoSpaceDN/>
        <w:bidi w:val="0"/>
        <w:adjustRightInd/>
        <w:snapToGrid/>
        <w:spacing w:line="360" w:lineRule="auto"/>
        <w:ind w:left="23" w:right="-88" w:rightChars="0" w:firstLine="482" w:firstLineChars="200"/>
        <w:textAlignment w:val="auto"/>
        <w:rPr>
          <w:rFonts w:hint="default" w:ascii="宋体" w:hAnsi="宋体"/>
          <w:b/>
          <w:bCs/>
          <w:color w:val="auto"/>
          <w:sz w:val="24"/>
          <w:highlight w:val="none"/>
          <w:shd w:val="clear" w:color="auto" w:fill="auto"/>
          <w:lang w:val="en-US" w:eastAsia="zh-CN"/>
        </w:rPr>
      </w:pPr>
      <w:r>
        <w:rPr>
          <w:rFonts w:hint="eastAsia" w:ascii="宋体" w:hAnsi="宋体"/>
          <w:b/>
          <w:bCs/>
          <w:color w:val="auto"/>
          <w:sz w:val="24"/>
          <w:highlight w:val="none"/>
          <w:shd w:val="clear" w:color="auto" w:fill="auto"/>
          <w:lang w:val="en-US" w:eastAsia="zh-CN"/>
        </w:rPr>
        <w:t>（二）托管的战略目标</w:t>
      </w:r>
    </w:p>
    <w:p w14:paraId="088628CA">
      <w:pPr>
        <w:keepNext w:val="0"/>
        <w:keepLines w:val="0"/>
        <w:pageBreakBefore w:val="0"/>
        <w:kinsoku/>
        <w:wordWrap/>
        <w:overflowPunct/>
        <w:topLinePunct w:val="0"/>
        <w:autoSpaceDE/>
        <w:autoSpaceDN/>
        <w:bidi w:val="0"/>
        <w:adjustRightInd/>
        <w:snapToGrid/>
        <w:spacing w:line="360" w:lineRule="auto"/>
        <w:ind w:left="23" w:right="-88" w:rightChars="0" w:firstLine="480" w:firstLineChars="200"/>
        <w:textAlignment w:val="auto"/>
        <w:rPr>
          <w:rFonts w:hint="eastAsia" w:ascii="宋体" w:hAnsi="宋体"/>
          <w:color w:val="auto"/>
          <w:sz w:val="24"/>
          <w:highlight w:val="none"/>
          <w:shd w:val="clear" w:color="auto" w:fill="auto"/>
          <w:lang w:val="en-US" w:eastAsia="zh-CN"/>
        </w:rPr>
      </w:pPr>
      <w:r>
        <w:rPr>
          <w:rFonts w:hint="eastAsia" w:ascii="宋体" w:hAnsi="宋体"/>
          <w:color w:val="auto"/>
          <w:sz w:val="24"/>
          <w:highlight w:val="none"/>
          <w:shd w:val="clear" w:color="auto" w:fill="auto"/>
          <w:lang w:val="en-US" w:eastAsia="zh-CN"/>
        </w:rPr>
        <w:t>托管期间，公司将重新设计马森能源的运营规划，目标是以新加坡为中心，建立新贸易平台，结合现货、纸货、船、库、金融等工具，成为LPG全球市场话语权、定价权重要参与方，筑牢原料保供和成本优势，服务公司C3产业链一体化战略。</w:t>
      </w:r>
    </w:p>
    <w:p w14:paraId="32ED3CB6">
      <w:pPr>
        <w:keepNext w:val="0"/>
        <w:keepLines w:val="0"/>
        <w:pageBreakBefore w:val="0"/>
        <w:kinsoku/>
        <w:wordWrap/>
        <w:overflowPunct/>
        <w:topLinePunct w:val="0"/>
        <w:autoSpaceDE/>
        <w:autoSpaceDN/>
        <w:bidi w:val="0"/>
        <w:adjustRightInd/>
        <w:snapToGrid/>
        <w:spacing w:line="360" w:lineRule="auto"/>
        <w:ind w:left="23" w:right="-88" w:rightChars="0" w:firstLine="480" w:firstLineChars="200"/>
        <w:textAlignment w:val="auto"/>
        <w:rPr>
          <w:rFonts w:hint="default" w:ascii="宋体" w:hAnsi="宋体"/>
          <w:color w:val="auto"/>
          <w:sz w:val="24"/>
          <w:highlight w:val="none"/>
          <w:shd w:val="clear" w:color="auto" w:fill="auto"/>
          <w:lang w:val="en-US" w:eastAsia="zh-CN"/>
        </w:rPr>
      </w:pPr>
      <w:r>
        <w:rPr>
          <w:rFonts w:hint="eastAsia" w:ascii="宋体" w:hAnsi="宋体"/>
          <w:color w:val="auto"/>
          <w:sz w:val="24"/>
          <w:highlight w:val="none"/>
          <w:shd w:val="clear" w:color="auto" w:fill="auto"/>
          <w:lang w:val="en-US" w:eastAsia="zh-CN"/>
        </w:rPr>
        <w:t>通过船贸结合、船库结合、库贸结合、纸货与实货对冲交易，汇差利差管理，建立丙烷交割库，为东华能源取得充足廉价的丙烷资源创造条件。</w:t>
      </w:r>
    </w:p>
    <w:p w14:paraId="59DAC3B1">
      <w:pPr>
        <w:keepNext w:val="0"/>
        <w:keepLines w:val="0"/>
        <w:pageBreakBefore w:val="0"/>
        <w:kinsoku/>
        <w:wordWrap/>
        <w:overflowPunct/>
        <w:topLinePunct w:val="0"/>
        <w:autoSpaceDE/>
        <w:autoSpaceDN/>
        <w:bidi w:val="0"/>
        <w:adjustRightInd/>
        <w:snapToGrid/>
        <w:spacing w:line="360" w:lineRule="auto"/>
        <w:ind w:left="23" w:right="-88" w:rightChars="0" w:firstLine="480" w:firstLineChars="200"/>
        <w:textAlignment w:val="auto"/>
        <w:rPr>
          <w:rFonts w:hint="eastAsia" w:ascii="宋体" w:hAnsi="宋体"/>
          <w:color w:val="auto"/>
          <w:sz w:val="24"/>
          <w:highlight w:val="none"/>
          <w:shd w:val="clear" w:color="auto" w:fill="auto"/>
          <w:lang w:val="en-US" w:eastAsia="zh-CN"/>
        </w:rPr>
      </w:pPr>
      <w:r>
        <w:rPr>
          <w:rFonts w:hint="eastAsia" w:ascii="宋体" w:hAnsi="宋体"/>
          <w:color w:val="auto"/>
          <w:sz w:val="24"/>
          <w:highlight w:val="none"/>
          <w:shd w:val="clear" w:color="auto" w:fill="auto"/>
          <w:lang w:val="en-US" w:eastAsia="zh-CN"/>
        </w:rPr>
        <w:t>同时，对不符合上述发展目标的业务和资产采取出售、逐渐萎缩等方式进行剥离。</w:t>
      </w:r>
    </w:p>
    <w:p w14:paraId="536054CF">
      <w:pPr>
        <w:keepNext w:val="0"/>
        <w:keepLines w:val="0"/>
        <w:pageBreakBefore w:val="0"/>
        <w:kinsoku/>
        <w:wordWrap/>
        <w:overflowPunct/>
        <w:topLinePunct w:val="0"/>
        <w:autoSpaceDE/>
        <w:autoSpaceDN/>
        <w:bidi w:val="0"/>
        <w:adjustRightInd/>
        <w:snapToGrid/>
        <w:spacing w:line="360" w:lineRule="auto"/>
        <w:ind w:left="23" w:right="-88" w:rightChars="0" w:firstLine="482" w:firstLineChars="200"/>
        <w:textAlignment w:val="auto"/>
        <w:rPr>
          <w:rFonts w:hint="default" w:ascii="宋体" w:hAnsi="宋体"/>
          <w:b/>
          <w:bCs/>
          <w:color w:val="auto"/>
          <w:sz w:val="24"/>
          <w:highlight w:val="none"/>
          <w:shd w:val="clear" w:color="auto" w:fill="auto"/>
          <w:lang w:val="en-US" w:eastAsia="zh-CN"/>
        </w:rPr>
      </w:pPr>
      <w:r>
        <w:rPr>
          <w:rFonts w:hint="eastAsia" w:ascii="宋体" w:hAnsi="宋体"/>
          <w:b/>
          <w:bCs/>
          <w:color w:val="auto"/>
          <w:sz w:val="24"/>
          <w:highlight w:val="none"/>
          <w:shd w:val="clear" w:color="auto" w:fill="auto"/>
          <w:lang w:val="en-US" w:eastAsia="zh-CN"/>
        </w:rPr>
        <w:t>（三）审议程序</w:t>
      </w:r>
    </w:p>
    <w:p w14:paraId="183D88A7">
      <w:pPr>
        <w:keepNext w:val="0"/>
        <w:keepLines w:val="0"/>
        <w:pageBreakBefore w:val="0"/>
        <w:kinsoku/>
        <w:wordWrap/>
        <w:overflowPunct/>
        <w:topLinePunct w:val="0"/>
        <w:autoSpaceDE/>
        <w:autoSpaceDN/>
        <w:bidi w:val="0"/>
        <w:adjustRightInd/>
        <w:snapToGrid/>
        <w:spacing w:line="360" w:lineRule="auto"/>
        <w:ind w:left="23" w:right="-88" w:rightChars="0" w:firstLine="476" w:firstLineChars="200"/>
        <w:textAlignment w:val="auto"/>
        <w:rPr>
          <w:rFonts w:hint="eastAsia" w:ascii="宋体" w:hAnsi="宋体" w:cs="宋体"/>
          <w:spacing w:val="-1"/>
          <w:sz w:val="24"/>
          <w:szCs w:val="24"/>
          <w:lang w:eastAsia="zh-CN"/>
        </w:rPr>
      </w:pPr>
      <w:r>
        <w:rPr>
          <w:rFonts w:hint="eastAsia" w:ascii="宋体" w:hAnsi="宋体" w:cs="宋体"/>
          <w:spacing w:val="-1"/>
          <w:sz w:val="24"/>
          <w:szCs w:val="24"/>
          <w:lang w:eastAsia="zh-CN"/>
        </w:rPr>
        <w:t>根据《深圳证券交易所股票上市规则》相关规定，该托管业务构成关联交易。</w:t>
      </w:r>
    </w:p>
    <w:p w14:paraId="1C55CAFF">
      <w:pPr>
        <w:keepNext w:val="0"/>
        <w:keepLines w:val="0"/>
        <w:pageBreakBefore w:val="0"/>
        <w:kinsoku/>
        <w:wordWrap/>
        <w:overflowPunct/>
        <w:topLinePunct w:val="0"/>
        <w:autoSpaceDE/>
        <w:autoSpaceDN/>
        <w:bidi w:val="0"/>
        <w:adjustRightInd/>
        <w:snapToGrid/>
        <w:spacing w:line="360" w:lineRule="auto"/>
        <w:ind w:left="23" w:right="-88" w:rightChars="0" w:firstLine="476" w:firstLineChars="200"/>
        <w:textAlignment w:val="auto"/>
        <w:rPr>
          <w:rFonts w:hint="eastAsia" w:ascii="宋体" w:hAnsi="宋体" w:cs="宋体"/>
          <w:spacing w:val="-1"/>
          <w:sz w:val="24"/>
          <w:szCs w:val="24"/>
          <w:lang w:eastAsia="zh-CN"/>
        </w:rPr>
      </w:pPr>
      <w:r>
        <w:rPr>
          <w:rFonts w:hint="eastAsia" w:ascii="宋体" w:hAnsi="宋体" w:cs="宋体"/>
          <w:spacing w:val="-1"/>
          <w:sz w:val="24"/>
          <w:szCs w:val="24"/>
          <w:lang w:eastAsia="zh-CN"/>
        </w:rPr>
        <w:t>本次关联交易不构成《上市公司重大资产重组管理办法》规定的重大资产重组。</w:t>
      </w:r>
    </w:p>
    <w:p w14:paraId="592151E6">
      <w:pPr>
        <w:keepNext w:val="0"/>
        <w:keepLines w:val="0"/>
        <w:pageBreakBefore w:val="0"/>
        <w:kinsoku/>
        <w:wordWrap/>
        <w:overflowPunct/>
        <w:topLinePunct w:val="0"/>
        <w:autoSpaceDE/>
        <w:autoSpaceDN/>
        <w:bidi w:val="0"/>
        <w:adjustRightInd/>
        <w:snapToGrid/>
        <w:spacing w:line="360" w:lineRule="auto"/>
        <w:ind w:left="23" w:right="-88" w:rightChars="0" w:firstLine="484" w:firstLineChars="200"/>
        <w:textAlignment w:val="auto"/>
        <w:rPr>
          <w:rFonts w:hint="eastAsia" w:ascii="宋体" w:hAnsi="宋体"/>
          <w:sz w:val="18"/>
          <w:szCs w:val="18"/>
        </w:rPr>
      </w:pPr>
      <w:r>
        <w:rPr>
          <w:rFonts w:hint="eastAsia" w:ascii="宋体" w:hAnsi="宋体" w:eastAsia="宋体" w:cs="宋体"/>
          <w:spacing w:val="1"/>
          <w:sz w:val="24"/>
          <w:szCs w:val="24"/>
          <w:lang w:val="en-US" w:eastAsia="zh-CN"/>
        </w:rPr>
        <w:t>根据《公司章程》</w:t>
      </w:r>
      <w:r>
        <w:rPr>
          <w:rFonts w:hint="eastAsia" w:ascii="宋体" w:hAnsi="宋体" w:cs="宋体"/>
          <w:spacing w:val="1"/>
          <w:sz w:val="24"/>
          <w:szCs w:val="24"/>
          <w:lang w:val="en-US" w:eastAsia="zh-CN"/>
        </w:rPr>
        <w:t>与</w:t>
      </w:r>
      <w:r>
        <w:rPr>
          <w:rFonts w:hint="eastAsia" w:ascii="宋体" w:hAnsi="宋体" w:eastAsia="宋体" w:cs="宋体"/>
          <w:spacing w:val="1"/>
          <w:sz w:val="24"/>
          <w:szCs w:val="24"/>
          <w:lang w:val="en-US" w:eastAsia="zh-CN"/>
        </w:rPr>
        <w:t>法律法规规定，</w:t>
      </w:r>
      <w:r>
        <w:rPr>
          <w:rFonts w:hint="eastAsia" w:ascii="宋体" w:hAnsi="宋体" w:cs="宋体"/>
          <w:spacing w:val="-6"/>
          <w:sz w:val="24"/>
          <w:szCs w:val="24"/>
          <w:lang w:val="en-US" w:eastAsia="zh-CN"/>
        </w:rPr>
        <w:t>本事项尚需提交公司股东大会审议</w:t>
      </w:r>
      <w:r>
        <w:rPr>
          <w:rFonts w:hint="eastAsia" w:ascii="宋体" w:hAnsi="宋体" w:eastAsia="宋体" w:cs="宋体"/>
          <w:spacing w:val="1"/>
          <w:sz w:val="24"/>
          <w:szCs w:val="24"/>
          <w:lang w:val="en-US" w:eastAsia="zh-CN"/>
        </w:rPr>
        <w:t>。</w:t>
      </w:r>
    </w:p>
    <w:p w14:paraId="410F72C5">
      <w:pPr>
        <w:autoSpaceDE w:val="0"/>
        <w:autoSpaceDN w:val="0"/>
        <w:adjustRightInd w:val="0"/>
        <w:spacing w:line="360" w:lineRule="auto"/>
        <w:ind w:firstLine="482" w:firstLineChars="200"/>
        <w:outlineLvl w:val="0"/>
        <w:rPr>
          <w:rFonts w:asciiTheme="minorEastAsia" w:hAnsiTheme="minorEastAsia" w:eastAsiaTheme="minorEastAsia"/>
          <w:b/>
          <w:sz w:val="24"/>
        </w:rPr>
      </w:pPr>
      <w:r>
        <w:rPr>
          <w:rFonts w:hint="eastAsia" w:asciiTheme="minorEastAsia" w:hAnsiTheme="minorEastAsia" w:eastAsiaTheme="minorEastAsia"/>
          <w:b/>
          <w:sz w:val="24"/>
        </w:rPr>
        <w:t>二、关联方的基本情况</w:t>
      </w:r>
    </w:p>
    <w:p w14:paraId="6CE6B00D">
      <w:pPr>
        <w:spacing w:line="360" w:lineRule="auto"/>
        <w:ind w:firstLine="482" w:firstLineChars="200"/>
        <w:outlineLvl w:val="1"/>
        <w:rPr>
          <w:rFonts w:hint="eastAsia" w:ascii="宋体" w:hAnsi="宋体" w:cs="宋体"/>
          <w:b/>
          <w:bCs/>
          <w:sz w:val="24"/>
        </w:rPr>
      </w:pPr>
      <w:r>
        <w:rPr>
          <w:rFonts w:hint="eastAsia" w:ascii="宋体" w:hAnsi="宋体" w:cs="宋体"/>
          <w:b/>
          <w:sz w:val="24"/>
        </w:rPr>
        <w:t>（</w:t>
      </w:r>
      <w:r>
        <w:rPr>
          <w:rFonts w:hint="eastAsia" w:ascii="宋体" w:hAnsi="宋体" w:cs="宋体"/>
          <w:b/>
          <w:sz w:val="24"/>
          <w:lang w:val="en-US" w:eastAsia="zh-CN"/>
        </w:rPr>
        <w:t>一</w:t>
      </w:r>
      <w:r>
        <w:rPr>
          <w:rFonts w:hint="eastAsia" w:ascii="宋体" w:hAnsi="宋体" w:cs="宋体"/>
          <w:b/>
          <w:sz w:val="24"/>
        </w:rPr>
        <w:t>）东华石油（长江）有限公司</w:t>
      </w:r>
    </w:p>
    <w:p w14:paraId="36DCD21F">
      <w:pPr>
        <w:spacing w:line="360" w:lineRule="auto"/>
        <w:ind w:firstLine="480" w:firstLineChars="200"/>
        <w:rPr>
          <w:rFonts w:hint="eastAsia" w:ascii="宋体" w:hAnsi="宋体" w:eastAsia="宋体"/>
          <w:sz w:val="24"/>
          <w:lang w:eastAsia="zh-CN"/>
        </w:rPr>
      </w:pPr>
      <w:r>
        <w:rPr>
          <w:rFonts w:hint="eastAsia" w:ascii="宋体" w:hAnsi="宋体"/>
          <w:sz w:val="24"/>
          <w:highlight w:val="none"/>
          <w:lang w:val="en-US" w:eastAsia="zh-CN"/>
        </w:rPr>
        <w:t>1、东华石油（长江）有限公司</w:t>
      </w:r>
      <w:r>
        <w:rPr>
          <w:rFonts w:hint="eastAsia" w:ascii="宋体" w:hAnsi="宋体"/>
          <w:sz w:val="24"/>
          <w:highlight w:val="none"/>
          <w:lang w:eastAsia="zh-CN"/>
        </w:rPr>
        <w:t>（ORIENTAL PETROLEUM (YANGTZE) LIMITED）)在香港注册成立，</w:t>
      </w:r>
      <w:r>
        <w:rPr>
          <w:rFonts w:hint="eastAsia" w:ascii="宋体" w:hAnsi="宋体"/>
          <w:sz w:val="24"/>
          <w:highlight w:val="none"/>
        </w:rPr>
        <w:t>注册号为</w:t>
      </w:r>
      <w:r>
        <w:rPr>
          <w:rFonts w:hint="eastAsia" w:ascii="宋体" w:hAnsi="宋体"/>
          <w:sz w:val="24"/>
          <w:highlight w:val="none"/>
          <w:lang w:val="en-US" w:eastAsia="zh-CN"/>
        </w:rPr>
        <w:t>0475265</w:t>
      </w:r>
      <w:r>
        <w:rPr>
          <w:rFonts w:hint="eastAsia" w:ascii="宋体" w:hAnsi="宋体"/>
          <w:sz w:val="24"/>
          <w:highlight w:val="none"/>
        </w:rPr>
        <w:t>，</w:t>
      </w:r>
      <w:r>
        <w:rPr>
          <w:rFonts w:hint="eastAsia" w:ascii="宋体" w:hAnsi="宋体"/>
          <w:sz w:val="24"/>
          <w:highlight w:val="none"/>
          <w:lang w:eastAsia="zh-CN"/>
        </w:rPr>
        <w:t>注册办公地点为香港九龙深水埗区深旺道28号汇玺海钻汇9楼B室。</w:t>
      </w:r>
      <w:r>
        <w:rPr>
          <w:rFonts w:hint="eastAsia" w:ascii="宋体" w:hAnsi="宋体"/>
          <w:sz w:val="24"/>
          <w:highlight w:val="none"/>
          <w:lang w:val="en-US" w:eastAsia="zh-CN"/>
        </w:rPr>
        <w:t>董事为王铭祥、周一峰</w:t>
      </w:r>
      <w:r>
        <w:rPr>
          <w:rFonts w:hint="eastAsia" w:ascii="宋体" w:hAnsi="宋体"/>
          <w:sz w:val="24"/>
        </w:rPr>
        <w:t>。</w:t>
      </w:r>
      <w:r>
        <w:rPr>
          <w:rFonts w:hint="eastAsia" w:ascii="宋体" w:hAnsi="宋体"/>
          <w:sz w:val="24"/>
          <w:lang w:val="en-US" w:eastAsia="zh-CN"/>
        </w:rPr>
        <w:t>经营范围包括</w:t>
      </w:r>
      <w:r>
        <w:rPr>
          <w:rFonts w:hint="eastAsia" w:ascii="宋体" w:hAnsi="宋体"/>
          <w:sz w:val="24"/>
        </w:rPr>
        <w:t>进出口、代理、分销、制造、批发零售、代办、承包、小商品、运输、工商业、金融等</w:t>
      </w:r>
      <w:r>
        <w:rPr>
          <w:rFonts w:hint="eastAsia" w:ascii="宋体" w:hAnsi="宋体"/>
          <w:sz w:val="24"/>
          <w:lang w:eastAsia="zh-CN"/>
        </w:rPr>
        <w:t>。</w:t>
      </w:r>
    </w:p>
    <w:p w14:paraId="0AC711A4">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2023年度合并财务报表总资产为475.69亿元，总负债为332.70亿元，净资产为142.99亿元，实现营业收入452.69亿元，归母净利润2.94亿元（上述财务数据已经审计）。2024年半年度合并财务报表总资产为510.43亿元，总负债为365.25亿元，净资产为145.18亿元，实现营业收入251.43亿元，归母净利润1.87亿元（上述财务数据未经审计）。</w:t>
      </w:r>
    </w:p>
    <w:p w14:paraId="13C433ED">
      <w:pPr>
        <w:numPr>
          <w:ilvl w:val="0"/>
          <w:numId w:val="0"/>
        </w:numPr>
        <w:spacing w:line="360" w:lineRule="auto"/>
        <w:ind w:left="0" w:leftChars="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2、</w:t>
      </w:r>
      <w:r>
        <w:rPr>
          <w:rFonts w:hint="eastAsia" w:ascii="宋体" w:hAnsi="宋体"/>
          <w:sz w:val="24"/>
          <w:highlight w:val="none"/>
          <w:lang w:val="en-US" w:eastAsia="zh-CN"/>
        </w:rPr>
        <w:t>东华石油（长江）有限公司为公司控股股东，</w:t>
      </w:r>
      <w:r>
        <w:rPr>
          <w:rFonts w:ascii="宋体" w:hAnsi="宋体"/>
          <w:sz w:val="24"/>
          <w:highlight w:val="none"/>
        </w:rPr>
        <w:t>根据《深圳证券交易所股票上市规则》第</w:t>
      </w:r>
      <w:r>
        <w:rPr>
          <w:rFonts w:hint="eastAsia" w:ascii="宋体" w:hAnsi="宋体"/>
          <w:sz w:val="24"/>
          <w:highlight w:val="none"/>
          <w:lang w:val="en-US" w:eastAsia="zh-CN"/>
        </w:rPr>
        <w:t>6.3</w:t>
      </w:r>
      <w:r>
        <w:rPr>
          <w:rFonts w:ascii="宋体" w:hAnsi="宋体"/>
          <w:sz w:val="24"/>
          <w:highlight w:val="none"/>
        </w:rPr>
        <w:t>.3条的规定</w:t>
      </w:r>
      <w:r>
        <w:rPr>
          <w:rFonts w:ascii="宋体" w:hAnsi="宋体"/>
          <w:sz w:val="24"/>
        </w:rPr>
        <w:t>，与上市公司存在关联关系。</w:t>
      </w:r>
    </w:p>
    <w:p w14:paraId="5325877A">
      <w:pPr>
        <w:numPr>
          <w:ilvl w:val="0"/>
          <w:numId w:val="0"/>
        </w:numPr>
        <w:spacing w:line="360" w:lineRule="auto"/>
        <w:ind w:left="0" w:leftChars="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rPr>
        <w:t>通过信用中国网站（http://www.creditchina.gov.cn/）、国家企业信用信息公示系统（http://www.gsxt.gov.cn/index.html）、中国执行信息公开网（http://shixin.court.gov.cn/）、全国法院失信被执行人名单信息公布与查询网站（http://shixin.court.gov.cn/index.html）查询，</w:t>
      </w:r>
      <w:r>
        <w:rPr>
          <w:rFonts w:hint="eastAsia" w:ascii="宋体" w:hAnsi="宋体"/>
          <w:sz w:val="24"/>
          <w:highlight w:val="none"/>
          <w:lang w:val="en-US" w:eastAsia="zh-CN"/>
        </w:rPr>
        <w:t>东华石油（长江）有限公司</w:t>
      </w:r>
      <w:r>
        <w:rPr>
          <w:rFonts w:hint="eastAsia" w:ascii="宋体" w:hAnsi="宋体" w:eastAsia="宋体" w:cs="宋体"/>
          <w:sz w:val="24"/>
        </w:rPr>
        <w:t>不属于失信被执行人。</w:t>
      </w:r>
    </w:p>
    <w:p w14:paraId="1B62B14F">
      <w:pPr>
        <w:numPr>
          <w:ilvl w:val="0"/>
          <w:numId w:val="0"/>
        </w:numPr>
        <w:spacing w:line="360" w:lineRule="auto"/>
        <w:ind w:left="0" w:leftChars="0" w:firstLine="480" w:firstLineChars="200"/>
        <w:rPr>
          <w:rFonts w:hint="eastAsia" w:ascii="宋体" w:hAnsi="宋体"/>
          <w:sz w:val="24"/>
        </w:rPr>
      </w:pPr>
      <w:r>
        <w:rPr>
          <w:rFonts w:hint="eastAsia" w:ascii="宋体" w:hAnsi="宋体" w:eastAsia="宋体" w:cs="宋体"/>
          <w:kern w:val="2"/>
          <w:sz w:val="24"/>
          <w:szCs w:val="24"/>
          <w:lang w:val="en-US" w:eastAsia="zh-CN" w:bidi="ar-SA"/>
        </w:rPr>
        <w:t>4、</w:t>
      </w:r>
      <w:r>
        <w:rPr>
          <w:rFonts w:hint="eastAsia" w:ascii="宋体" w:hAnsi="宋体" w:cs="宋体"/>
          <w:sz w:val="24"/>
          <w:lang w:val="en-US" w:eastAsia="zh-CN"/>
        </w:rPr>
        <w:t>截至公告日，不存在公司为</w:t>
      </w:r>
      <w:r>
        <w:rPr>
          <w:rFonts w:hint="eastAsia" w:ascii="宋体" w:hAnsi="宋体"/>
          <w:sz w:val="24"/>
          <w:highlight w:val="none"/>
          <w:lang w:val="en-US" w:eastAsia="zh-CN"/>
        </w:rPr>
        <w:t>东华石油（长江）有限公司</w:t>
      </w:r>
      <w:r>
        <w:rPr>
          <w:rFonts w:hint="eastAsia" w:ascii="宋体" w:hAnsi="宋体" w:cs="宋体"/>
          <w:sz w:val="24"/>
          <w:lang w:val="en-US" w:eastAsia="zh-CN"/>
        </w:rPr>
        <w:t>提供担保、</w:t>
      </w:r>
      <w:r>
        <w:rPr>
          <w:rFonts w:hint="eastAsia" w:ascii="宋体" w:hAnsi="宋体"/>
          <w:sz w:val="24"/>
          <w:highlight w:val="none"/>
          <w:lang w:val="en-US" w:eastAsia="zh-CN"/>
        </w:rPr>
        <w:t>东华石油（长江）有限公司</w:t>
      </w:r>
      <w:r>
        <w:rPr>
          <w:rFonts w:hint="eastAsia" w:ascii="宋体" w:hAnsi="宋体" w:cs="宋体"/>
          <w:sz w:val="24"/>
          <w:lang w:val="en-US" w:eastAsia="zh-CN"/>
        </w:rPr>
        <w:t>占用公司资金的情形。</w:t>
      </w:r>
    </w:p>
    <w:p w14:paraId="6E5F0AE6">
      <w:pPr>
        <w:spacing w:line="360" w:lineRule="auto"/>
        <w:ind w:firstLine="463" w:firstLineChars="192"/>
        <w:outlineLvl w:val="0"/>
        <w:rPr>
          <w:rFonts w:hint="eastAsia" w:asciiTheme="minorEastAsia" w:hAnsiTheme="minorEastAsia" w:eastAsiaTheme="minorEastAsia"/>
          <w:b/>
          <w:sz w:val="24"/>
        </w:rPr>
      </w:pPr>
      <w:r>
        <w:rPr>
          <w:rFonts w:hint="eastAsia" w:asciiTheme="minorEastAsia" w:hAnsiTheme="minorEastAsia" w:eastAsiaTheme="minorEastAsia"/>
          <w:b/>
          <w:sz w:val="24"/>
        </w:rPr>
        <w:t>三、交易标的基本情况</w:t>
      </w:r>
    </w:p>
    <w:p w14:paraId="6A5B8685">
      <w:pPr>
        <w:spacing w:line="360" w:lineRule="auto"/>
        <w:ind w:firstLine="480" w:firstLineChars="200"/>
        <w:rPr>
          <w:rFonts w:hint="eastAsia" w:ascii="宋体" w:hAnsi="宋体"/>
          <w:sz w:val="24"/>
        </w:rPr>
      </w:pPr>
      <w:r>
        <w:rPr>
          <w:rFonts w:hint="eastAsia" w:ascii="宋体" w:hAnsi="宋体"/>
          <w:sz w:val="24"/>
          <w:highlight w:val="none"/>
          <w:lang w:val="en-US" w:eastAsia="zh-CN"/>
        </w:rPr>
        <w:t>1、</w:t>
      </w:r>
      <w:r>
        <w:rPr>
          <w:rFonts w:hint="eastAsia" w:ascii="宋体" w:hAnsi="宋体"/>
          <w:sz w:val="24"/>
          <w:highlight w:val="none"/>
        </w:rPr>
        <w:t>MATHESON ENERGY PTE.LTD成立于2</w:t>
      </w:r>
      <w:r>
        <w:rPr>
          <w:rFonts w:ascii="宋体" w:hAnsi="宋体"/>
          <w:sz w:val="24"/>
          <w:highlight w:val="none"/>
        </w:rPr>
        <w:t>019</w:t>
      </w:r>
      <w:r>
        <w:rPr>
          <w:rFonts w:hint="eastAsia" w:ascii="宋体" w:hAnsi="宋体"/>
          <w:sz w:val="24"/>
          <w:highlight w:val="none"/>
        </w:rPr>
        <w:t>年7月1</w:t>
      </w:r>
      <w:r>
        <w:rPr>
          <w:rFonts w:ascii="宋体" w:hAnsi="宋体"/>
          <w:sz w:val="24"/>
          <w:highlight w:val="none"/>
        </w:rPr>
        <w:t>1</w:t>
      </w:r>
      <w:r>
        <w:rPr>
          <w:rFonts w:hint="eastAsia" w:ascii="宋体" w:hAnsi="宋体"/>
          <w:sz w:val="24"/>
          <w:highlight w:val="none"/>
        </w:rPr>
        <w:t>日，注册号为2</w:t>
      </w:r>
      <w:r>
        <w:rPr>
          <w:rFonts w:ascii="宋体" w:hAnsi="宋体"/>
          <w:sz w:val="24"/>
          <w:highlight w:val="none"/>
        </w:rPr>
        <w:t>01922477H</w:t>
      </w:r>
      <w:r>
        <w:rPr>
          <w:rFonts w:hint="eastAsia" w:ascii="宋体" w:hAnsi="宋体"/>
          <w:sz w:val="24"/>
          <w:highlight w:val="none"/>
        </w:rPr>
        <w:t>，</w:t>
      </w:r>
      <w:r>
        <w:rPr>
          <w:rFonts w:hint="eastAsia" w:ascii="宋体" w:hAnsi="宋体"/>
          <w:sz w:val="24"/>
          <w:highlight w:val="none"/>
          <w:lang w:val="en-US" w:eastAsia="zh-CN"/>
        </w:rPr>
        <w:t>董事为王铭祥、周一峰等，总经理为严家生</w:t>
      </w:r>
      <w:r>
        <w:rPr>
          <w:rFonts w:hint="eastAsia" w:ascii="宋体" w:hAnsi="宋体"/>
          <w:sz w:val="24"/>
          <w:highlight w:val="none"/>
        </w:rPr>
        <w:t>，注册资本</w:t>
      </w:r>
      <w:r>
        <w:rPr>
          <w:rFonts w:hint="eastAsia" w:ascii="宋体" w:hAnsi="宋体"/>
          <w:sz w:val="24"/>
          <w:highlight w:val="none"/>
          <w:lang w:val="en-US" w:eastAsia="zh-CN"/>
        </w:rPr>
        <w:t>4,530</w:t>
      </w:r>
      <w:r>
        <w:rPr>
          <w:rFonts w:hint="eastAsia" w:ascii="宋体" w:hAnsi="宋体"/>
          <w:sz w:val="24"/>
          <w:highlight w:val="none"/>
        </w:rPr>
        <w:t>万美元，住所为</w:t>
      </w:r>
      <w:r>
        <w:rPr>
          <w:rFonts w:ascii="宋体" w:hAnsi="宋体"/>
          <w:sz w:val="24"/>
          <w:highlight w:val="none"/>
        </w:rPr>
        <w:t>8 MARINA VIEW #30-05 ASIA SQUARE TOWER 1 SINGAPORE</w:t>
      </w:r>
      <w:r>
        <w:rPr>
          <w:rFonts w:hint="eastAsia" w:ascii="宋体" w:hAnsi="宋体"/>
          <w:sz w:val="24"/>
          <w:highlight w:val="none"/>
        </w:rPr>
        <w:t>，</w:t>
      </w:r>
      <w:r>
        <w:rPr>
          <w:rFonts w:hint="eastAsia" w:ascii="宋体" w:hAnsi="宋体"/>
          <w:sz w:val="24"/>
        </w:rPr>
        <w:t>经营范围包括各种商品的批发贸易，包括采购、贸易、船运</w:t>
      </w:r>
      <w:r>
        <w:rPr>
          <w:rFonts w:hint="eastAsia" w:ascii="宋体" w:hAnsi="宋体"/>
          <w:sz w:val="24"/>
          <w:lang w:val="en-US" w:eastAsia="zh-CN"/>
        </w:rPr>
        <w:t>及</w:t>
      </w:r>
      <w:r>
        <w:rPr>
          <w:rFonts w:hint="eastAsia" w:ascii="宋体" w:hAnsi="宋体"/>
          <w:sz w:val="24"/>
        </w:rPr>
        <w:t>分销（销售）。</w:t>
      </w:r>
    </w:p>
    <w:p w14:paraId="4A86524C">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2022年度合并财务报表总资产为55.72亿元，总负债为46.81亿元，净资产为8.91亿元，实现营业收入303.02亿元，归母净利润0.74亿元（上述财务数据已经审计）。</w:t>
      </w:r>
    </w:p>
    <w:p w14:paraId="442AE337">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2023年度合并财务报表总资产为88.68亿元，总负债为61.11亿元，净资产为27.57亿元，实现营业收入284.48亿元，归母净利润0.80亿元（上述财务数据已经审计）。</w:t>
      </w:r>
    </w:p>
    <w:p w14:paraId="3D007278">
      <w:pPr>
        <w:numPr>
          <w:ilvl w:val="0"/>
          <w:numId w:val="0"/>
        </w:numPr>
        <w:spacing w:line="360" w:lineRule="auto"/>
        <w:ind w:left="0" w:leftChars="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2、</w:t>
      </w:r>
      <w:r>
        <w:rPr>
          <w:rFonts w:hint="eastAsia" w:ascii="宋体" w:hAnsi="宋体"/>
          <w:sz w:val="24"/>
          <w:highlight w:val="none"/>
          <w:lang w:val="en-US" w:eastAsia="zh-CN"/>
        </w:rPr>
        <w:t>马森能源为公司实际控制人控制的其他企业，</w:t>
      </w:r>
      <w:r>
        <w:rPr>
          <w:rFonts w:ascii="宋体" w:hAnsi="宋体"/>
          <w:sz w:val="24"/>
          <w:highlight w:val="none"/>
        </w:rPr>
        <w:t>根据《深圳证券交易所股票上市规则》第</w:t>
      </w:r>
      <w:r>
        <w:rPr>
          <w:rFonts w:hint="eastAsia" w:ascii="宋体" w:hAnsi="宋体"/>
          <w:sz w:val="24"/>
          <w:highlight w:val="none"/>
          <w:lang w:val="en-US" w:eastAsia="zh-CN"/>
        </w:rPr>
        <w:t>6.3</w:t>
      </w:r>
      <w:r>
        <w:rPr>
          <w:rFonts w:ascii="宋体" w:hAnsi="宋体"/>
          <w:sz w:val="24"/>
          <w:highlight w:val="none"/>
        </w:rPr>
        <w:t>.3条的规定</w:t>
      </w:r>
      <w:r>
        <w:rPr>
          <w:rFonts w:ascii="宋体" w:hAnsi="宋体"/>
          <w:sz w:val="24"/>
        </w:rPr>
        <w:t>，属于“二、由前项所述法人直接或者间接控制的除上市公司及其控股子公司以外的法人或者其他组织”，故与上市公司存在关联关系。</w:t>
      </w:r>
    </w:p>
    <w:p w14:paraId="029DB0BE">
      <w:pPr>
        <w:numPr>
          <w:ilvl w:val="0"/>
          <w:numId w:val="0"/>
        </w:numPr>
        <w:spacing w:line="360" w:lineRule="auto"/>
        <w:ind w:left="0" w:leftChars="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rPr>
        <w:t>通过信用中国网站（http://www.creditchina.gov.cn/）、国家企业信用信息公示系统（http://www.gsxt.gov.cn/index.html）、中国执行信息公开网（http://shixin.court.gov.cn/）、全国法院失信被执行人名单信息公布与查询网站（http://shixin.court.gov.cn/index.html）查询，</w:t>
      </w:r>
      <w:r>
        <w:rPr>
          <w:rFonts w:hint="eastAsia" w:ascii="宋体" w:hAnsi="宋体" w:cs="宋体"/>
          <w:sz w:val="24"/>
          <w:lang w:val="en-US" w:eastAsia="zh-CN"/>
        </w:rPr>
        <w:t>马森能源</w:t>
      </w:r>
      <w:bookmarkStart w:id="1" w:name="_GoBack"/>
      <w:bookmarkEnd w:id="1"/>
      <w:r>
        <w:rPr>
          <w:rFonts w:hint="eastAsia" w:ascii="宋体" w:hAnsi="宋体" w:eastAsia="宋体" w:cs="宋体"/>
          <w:sz w:val="24"/>
        </w:rPr>
        <w:t>不属于失信被执行人。</w:t>
      </w:r>
    </w:p>
    <w:p w14:paraId="74456E8D">
      <w:pPr>
        <w:numPr>
          <w:ilvl w:val="0"/>
          <w:numId w:val="0"/>
        </w:numPr>
        <w:spacing w:line="360" w:lineRule="auto"/>
        <w:ind w:left="0" w:leftChars="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4、</w:t>
      </w:r>
      <w:r>
        <w:rPr>
          <w:rFonts w:hint="eastAsia" w:ascii="宋体" w:hAnsi="宋体" w:cs="宋体"/>
          <w:sz w:val="24"/>
          <w:lang w:val="en-US" w:eastAsia="zh-CN"/>
        </w:rPr>
        <w:t>截至公告日，公司为马森能源间接控股公司宁波百地年液化石油气有限公司提供担保，担保余额为8.82亿元，不存在马森能源占用公司资金的情形。</w:t>
      </w:r>
    </w:p>
    <w:p w14:paraId="79C47CD1">
      <w:pPr>
        <w:keepNext w:val="0"/>
        <w:keepLines w:val="0"/>
        <w:pageBreakBefore w:val="0"/>
        <w:widowControl w:val="0"/>
        <w:kinsoku/>
        <w:wordWrap/>
        <w:overflowPunct/>
        <w:topLinePunct w:val="0"/>
        <w:bidi w:val="0"/>
        <w:snapToGrid/>
        <w:spacing w:line="360" w:lineRule="auto"/>
        <w:ind w:firstLine="463" w:firstLineChars="192"/>
        <w:textAlignment w:val="auto"/>
        <w:outlineLvl w:val="0"/>
        <w:rPr>
          <w:rFonts w:hint="eastAsia" w:asciiTheme="minorEastAsia" w:hAnsiTheme="minorEastAsia" w:eastAsiaTheme="minorEastAsia"/>
          <w:b/>
          <w:bCs/>
          <w:sz w:val="24"/>
        </w:rPr>
      </w:pPr>
      <w:r>
        <w:rPr>
          <w:rFonts w:hint="eastAsia" w:asciiTheme="minorEastAsia" w:hAnsiTheme="minorEastAsia" w:eastAsiaTheme="minorEastAsia"/>
          <w:b/>
          <w:bCs/>
          <w:sz w:val="24"/>
        </w:rPr>
        <w:t>四、交易的定价政策及定价依据</w:t>
      </w:r>
    </w:p>
    <w:p w14:paraId="67DA1AEC">
      <w:pPr>
        <w:spacing w:line="360" w:lineRule="auto"/>
        <w:ind w:firstLine="480" w:firstLineChars="200"/>
        <w:rPr>
          <w:rFonts w:hint="eastAsia" w:ascii="宋体" w:hAnsi="宋体"/>
          <w:sz w:val="24"/>
          <w:highlight w:val="none"/>
        </w:rPr>
      </w:pPr>
      <w:r>
        <w:rPr>
          <w:rFonts w:hint="eastAsia" w:ascii="宋体" w:hAnsi="宋体"/>
          <w:sz w:val="24"/>
          <w:highlight w:val="none"/>
        </w:rPr>
        <w:t>本次关联交易定价遵循公平、公正的原则，托管费用由交易各方根据实际情况并经友好协商确定，不存在损害公司及全体股东利益，特别是中小股东利益的情形。</w:t>
      </w:r>
    </w:p>
    <w:p w14:paraId="2BF09F24">
      <w:pPr>
        <w:spacing w:line="360" w:lineRule="auto"/>
        <w:ind w:firstLine="463" w:firstLineChars="192"/>
        <w:outlineLvl w:val="0"/>
        <w:rPr>
          <w:rFonts w:asciiTheme="minorEastAsia" w:hAnsiTheme="minorEastAsia" w:eastAsiaTheme="minorEastAsia"/>
          <w:b/>
          <w:sz w:val="24"/>
        </w:rPr>
      </w:pPr>
      <w:r>
        <w:rPr>
          <w:rFonts w:hint="eastAsia" w:asciiTheme="minorEastAsia" w:hAnsiTheme="minorEastAsia" w:eastAsiaTheme="minorEastAsia"/>
          <w:b/>
          <w:bCs/>
          <w:sz w:val="24"/>
        </w:rPr>
        <w:t>五、协议的</w:t>
      </w:r>
      <w:r>
        <w:rPr>
          <w:rFonts w:hint="eastAsia" w:asciiTheme="minorEastAsia" w:hAnsiTheme="minorEastAsia" w:eastAsiaTheme="minorEastAsia"/>
          <w:b/>
          <w:sz w:val="24"/>
        </w:rPr>
        <w:t>主要内容</w:t>
      </w:r>
    </w:p>
    <w:p w14:paraId="2913EDF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rPr>
      </w:pPr>
      <w:r>
        <w:rPr>
          <w:rFonts w:hint="eastAsia" w:ascii="宋体" w:hAnsi="宋体"/>
          <w:sz w:val="24"/>
        </w:rPr>
        <w:t>甲方（托管方）：</w:t>
      </w:r>
      <w:r>
        <w:rPr>
          <w:rFonts w:hint="eastAsia" w:ascii="宋体" w:hAnsi="宋体" w:cs="宋体"/>
          <w:spacing w:val="-1"/>
          <w:sz w:val="24"/>
          <w:szCs w:val="24"/>
          <w:lang w:val="en-US" w:eastAsia="zh-CN"/>
        </w:rPr>
        <w:t>东华石油（长江）有限公司</w:t>
      </w:r>
    </w:p>
    <w:p w14:paraId="55AA8C8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rPr>
      </w:pPr>
      <w:r>
        <w:rPr>
          <w:rFonts w:hint="eastAsia" w:ascii="宋体" w:hAnsi="宋体"/>
          <w:sz w:val="24"/>
        </w:rPr>
        <w:t>乙方（受托方）：</w:t>
      </w:r>
      <w:r>
        <w:rPr>
          <w:rFonts w:hint="eastAsia" w:ascii="宋体" w:hAnsi="宋体" w:eastAsia="宋体" w:cs="宋体"/>
          <w:spacing w:val="1"/>
          <w:sz w:val="24"/>
          <w:szCs w:val="24"/>
          <w:lang w:val="en-US" w:eastAsia="zh-CN"/>
        </w:rPr>
        <w:t>东华能源股份有限公司</w:t>
      </w:r>
    </w:p>
    <w:p w14:paraId="57885BF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rPr>
      </w:pPr>
      <w:r>
        <w:rPr>
          <w:rFonts w:hint="eastAsia" w:ascii="宋体" w:hAnsi="宋体"/>
          <w:sz w:val="24"/>
        </w:rPr>
        <w:t>丙方（标的公司）：</w:t>
      </w:r>
      <w:r>
        <w:rPr>
          <w:rFonts w:hint="eastAsia"/>
          <w:sz w:val="24"/>
          <w:szCs w:val="24"/>
          <w:lang w:val="en-US" w:eastAsia="zh-CN"/>
        </w:rPr>
        <w:t>MATHESON ENERGY PTE. LTD.</w:t>
      </w:r>
    </w:p>
    <w:p w14:paraId="50F5D96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rPr>
      </w:pPr>
      <w:r>
        <w:rPr>
          <w:rFonts w:hint="eastAsia" w:ascii="宋体" w:hAnsi="宋体"/>
          <w:sz w:val="24"/>
        </w:rPr>
        <w:t>为了进一步明确授权管理中的权利、义务，本着自愿、公平、诚实守信的原则，经各方友好协商达成协议如下：</w:t>
      </w:r>
    </w:p>
    <w:p w14:paraId="7D1D4CF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rPr>
      </w:pPr>
      <w:r>
        <w:rPr>
          <w:rFonts w:hint="eastAsia" w:ascii="宋体" w:hAnsi="宋体"/>
          <w:sz w:val="24"/>
        </w:rPr>
        <w:t>（一）托管标的</w:t>
      </w:r>
    </w:p>
    <w:p w14:paraId="2D9A88A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rPr>
      </w:pPr>
      <w:r>
        <w:rPr>
          <w:rFonts w:hint="eastAsia" w:ascii="宋体" w:hAnsi="宋体"/>
          <w:sz w:val="24"/>
          <w:lang w:val="en-US" w:eastAsia="zh-CN"/>
        </w:rPr>
        <w:t>甲方同意将所持丙方100 %股权委托乙方管理，乙方同意接受委托管理前述股权。</w:t>
      </w:r>
    </w:p>
    <w:p w14:paraId="638E9DB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rPr>
      </w:pPr>
      <w:r>
        <w:rPr>
          <w:rFonts w:hint="eastAsia" w:ascii="宋体" w:hAnsi="宋体"/>
          <w:sz w:val="24"/>
        </w:rPr>
        <w:t>（二）托管主要内容</w:t>
      </w:r>
    </w:p>
    <w:p w14:paraId="6A4FC15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lang w:val="en-US" w:eastAsia="zh-CN"/>
        </w:rPr>
        <w:t>托管股权股东权利的委托，除本协议约定保留的股东权利外，甲方将托管股权的其他股东权利委托给乙方代为行使</w:t>
      </w:r>
      <w:r>
        <w:rPr>
          <w:rFonts w:hint="eastAsia" w:ascii="宋体" w:hAnsi="宋体"/>
          <w:sz w:val="24"/>
          <w:highlight w:val="none"/>
          <w:lang w:eastAsia="zh-CN"/>
        </w:rPr>
        <w:t>。</w:t>
      </w:r>
    </w:p>
    <w:p w14:paraId="0A80B38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丙方业务经营管理的委托，甲方委托乙方对丙方及其下属控股子公司（包括马森液化气贸易（宁波）有限公司、马森能源（南京）有限公司、马森能源（太仓）有限公司、马森能源（茂名）有限公司、马森能源（张家港）有限公司、马森能源有限公司、钦州东华能源有限公司、宁波百地年液化石油气有限公司、江苏东华能源仓储有限公司）的业务经营活动进行全面有效管理。</w:t>
      </w:r>
    </w:p>
    <w:p w14:paraId="5475708E">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sz w:val="24"/>
          <w:highlight w:val="none"/>
          <w:lang w:val="en-US" w:eastAsia="zh-CN"/>
        </w:rPr>
      </w:pPr>
      <w:r>
        <w:rPr>
          <w:rFonts w:hint="default" w:ascii="宋体" w:hAnsi="宋体"/>
          <w:sz w:val="24"/>
          <w:highlight w:val="none"/>
          <w:lang w:val="en-US" w:eastAsia="zh-CN"/>
        </w:rPr>
        <w:t>委托管理期间，乙方对丙方</w:t>
      </w:r>
      <w:r>
        <w:rPr>
          <w:rFonts w:hint="eastAsia" w:ascii="宋体" w:hAnsi="宋体"/>
          <w:sz w:val="24"/>
          <w:highlight w:val="none"/>
          <w:lang w:val="en-US" w:eastAsia="zh-CN"/>
        </w:rPr>
        <w:t>及其下属控股子公司</w:t>
      </w:r>
      <w:r>
        <w:rPr>
          <w:rFonts w:hint="default" w:ascii="宋体" w:hAnsi="宋体"/>
          <w:sz w:val="24"/>
          <w:highlight w:val="none"/>
          <w:lang w:val="en-US" w:eastAsia="zh-CN"/>
        </w:rPr>
        <w:t>进行全面托管，包括日常的经营管理、业务管理、人事管理、财务管理</w:t>
      </w:r>
      <w:r>
        <w:rPr>
          <w:rFonts w:hint="eastAsia" w:ascii="宋体" w:hAnsi="宋体"/>
          <w:sz w:val="24"/>
          <w:highlight w:val="none"/>
          <w:lang w:val="en-US" w:eastAsia="zh-CN"/>
        </w:rPr>
        <w:t>、资金管理</w:t>
      </w:r>
      <w:r>
        <w:rPr>
          <w:rFonts w:hint="default" w:ascii="宋体" w:hAnsi="宋体"/>
          <w:sz w:val="24"/>
          <w:highlight w:val="none"/>
          <w:lang w:val="en-US" w:eastAsia="zh-CN"/>
        </w:rPr>
        <w:t>等一切经营活动。</w:t>
      </w:r>
    </w:p>
    <w:p w14:paraId="56C29C59">
      <w:pPr>
        <w:numPr>
          <w:ilvl w:val="0"/>
          <w:numId w:val="1"/>
        </w:numPr>
        <w:spacing w:before="78" w:beforeLines="25" w:after="78" w:afterLines="25" w:line="360" w:lineRule="auto"/>
        <w:ind w:firstLine="480" w:firstLineChars="200"/>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甲乙双方同意，托管期间，乙方将重新设计丙方的运营规划，目标是以新加坡为中心，建立新贸易平台，结合交易、仓储、物流、汇差管理等工具，将丙方打造成为LPG全球市场话语权、定价权重要参与方，筑牢原料保供和成本优势，服务于C3产业链一体化战略。</w:t>
      </w:r>
    </w:p>
    <w:p w14:paraId="5E145C1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4、乙方在行使上述两项受托管理活动时，作出下列决定必须经甲方书面同意：</w:t>
      </w:r>
    </w:p>
    <w:p w14:paraId="48C37FE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（1）将丙方或其子公司解散、改变其组织形式；</w:t>
      </w:r>
    </w:p>
    <w:p w14:paraId="4EF7C52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（2）对丙方或其子公司增资、减资；</w:t>
      </w:r>
    </w:p>
    <w:p w14:paraId="10C5E62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（3）丙方或其子公司对外提供担保（丙方与其子公司互相提供担保除外）；</w:t>
      </w:r>
    </w:p>
    <w:p w14:paraId="2314AB6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（4）丙方或其子公司重大对外投资（超过丙方净资产的10%）；</w:t>
      </w:r>
    </w:p>
    <w:p w14:paraId="4F01241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（5）丙方或其子公司重大资产处置（超过丙方净资产的10%）。</w:t>
      </w:r>
    </w:p>
    <w:p w14:paraId="39462307">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5、托管前的存续银行授信由甲方按原担保协议承担担保责任。托管期间，丙方新增银行授信由乙方提供增信措施并履行信息披露义务。</w:t>
      </w:r>
    </w:p>
    <w:p w14:paraId="642C279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rPr>
      </w:pPr>
      <w:r>
        <w:rPr>
          <w:rFonts w:hint="eastAsia" w:ascii="宋体" w:hAnsi="宋体"/>
          <w:sz w:val="24"/>
        </w:rPr>
        <w:t>（三）托管费用</w:t>
      </w:r>
    </w:p>
    <w:p w14:paraId="11BC790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1、托管费用按丙方经审计的年度合并财务报表归属于母公司所有者的净利润（以下简称“净利润”）的80%计算，若当年亏损，则丙方无须支付托管费用，同时甲方放弃经营索赔权。</w:t>
      </w:r>
    </w:p>
    <w:p w14:paraId="31297B56">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实际委托管理期间不满一年的，托管费用=丙方净利润*80%/12×实际托管月份，不足一月的按整月计算。</w:t>
      </w:r>
    </w:p>
    <w:p w14:paraId="16EE4172">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2、托管费用的具体支付方式为：丙方应当在每年3月31日前完成年度审计，并在4月30日前以现金方式向乙方（或其指定的子公司）支付托管费用。</w:t>
      </w:r>
    </w:p>
    <w:p w14:paraId="45DF847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rPr>
      </w:pPr>
      <w:r>
        <w:rPr>
          <w:rFonts w:hint="eastAsia" w:ascii="宋体" w:hAnsi="宋体"/>
          <w:sz w:val="24"/>
        </w:rPr>
        <w:t>（四）</w:t>
      </w:r>
      <w:r>
        <w:rPr>
          <w:rFonts w:hint="eastAsia" w:ascii="宋体" w:hAnsi="宋体"/>
          <w:sz w:val="24"/>
          <w:lang w:val="en-US" w:eastAsia="zh-CN"/>
        </w:rPr>
        <w:t>托管</w:t>
      </w:r>
      <w:r>
        <w:rPr>
          <w:rFonts w:hint="eastAsia" w:ascii="宋体" w:hAnsi="宋体"/>
          <w:sz w:val="24"/>
        </w:rPr>
        <w:t>期限</w:t>
      </w:r>
    </w:p>
    <w:p w14:paraId="1BAA3D54">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lang w:val="en-US" w:eastAsia="zh-CN"/>
        </w:rPr>
        <w:t>本协议约定托管期限3年，自本协议生效之日计算。</w:t>
      </w:r>
    </w:p>
    <w:p w14:paraId="0625B7B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rPr>
      </w:pPr>
      <w:r>
        <w:rPr>
          <w:rFonts w:hint="eastAsia" w:ascii="宋体" w:hAnsi="宋体"/>
          <w:sz w:val="24"/>
        </w:rPr>
        <w:t>（五）其他</w:t>
      </w:r>
    </w:p>
    <w:p w14:paraId="6943645E">
      <w:pPr>
        <w:keepNext w:val="0"/>
        <w:keepLines w:val="0"/>
        <w:pageBreakBefore w:val="0"/>
        <w:kinsoku/>
        <w:wordWrap/>
        <w:overflowPunct/>
        <w:topLinePunct w:val="0"/>
        <w:autoSpaceDE/>
        <w:autoSpaceDN/>
        <w:bidi w:val="0"/>
        <w:adjustRightInd/>
        <w:snapToGrid/>
        <w:spacing w:line="360" w:lineRule="auto"/>
        <w:ind w:firstLine="480" w:firstLineChars="200"/>
        <w:rPr>
          <w:rFonts w:cs="宋体" w:asciiTheme="minorEastAsia" w:hAnsiTheme="minorEastAsia"/>
          <w:kern w:val="0"/>
          <w:sz w:val="24"/>
          <w:szCs w:val="24"/>
        </w:rPr>
      </w:pPr>
      <w:bookmarkStart w:id="0" w:name="_Toc13163"/>
      <w:r>
        <w:rPr>
          <w:rFonts w:hint="eastAsia" w:ascii="宋体" w:hAnsi="宋体"/>
          <w:sz w:val="24"/>
          <w:highlight w:val="none"/>
          <w:lang w:val="en-US" w:eastAsia="zh-CN"/>
        </w:rPr>
        <w:t>本协议经各方法定代表人或授权代表签字加盖公章，且</w:t>
      </w:r>
      <w:r>
        <w:rPr>
          <w:rFonts w:hint="eastAsia" w:ascii="Times New Roman" w:hAnsi="Times New Roman" w:cs="Times New Roman"/>
          <w:sz w:val="24"/>
          <w:szCs w:val="24"/>
          <w:lang w:val="en-US" w:eastAsia="zh-CN"/>
        </w:rPr>
        <w:t>各方已按其《公司章程》</w:t>
      </w:r>
      <w:r>
        <w:rPr>
          <w:rFonts w:hint="default" w:ascii="Times New Roman" w:hAnsi="Times New Roman" w:cs="Times New Roman"/>
          <w:sz w:val="24"/>
          <w:szCs w:val="24"/>
        </w:rPr>
        <w:t>规定履行完毕内部决策程序</w:t>
      </w:r>
      <w:r>
        <w:rPr>
          <w:rFonts w:hint="eastAsia" w:ascii="宋体" w:hAnsi="宋体"/>
          <w:sz w:val="24"/>
          <w:highlight w:val="none"/>
          <w:lang w:val="en-US" w:eastAsia="zh-CN"/>
        </w:rPr>
        <w:t>后生效。</w:t>
      </w:r>
    </w:p>
    <w:bookmarkEnd w:id="0"/>
    <w:p w14:paraId="45343068">
      <w:pPr>
        <w:numPr>
          <w:ilvl w:val="0"/>
          <w:numId w:val="0"/>
        </w:numPr>
        <w:spacing w:line="360" w:lineRule="auto"/>
        <w:ind w:firstLine="482" w:firstLineChars="200"/>
        <w:outlineLvl w:val="0"/>
        <w:rPr>
          <w:rFonts w:asciiTheme="minorEastAsia" w:hAnsiTheme="minorEastAsia" w:eastAsiaTheme="minorEastAsia"/>
          <w:b/>
          <w:sz w:val="24"/>
        </w:rPr>
      </w:pPr>
      <w:r>
        <w:rPr>
          <w:rFonts w:hint="eastAsia" w:asciiTheme="minorEastAsia" w:hAnsiTheme="minorEastAsia" w:eastAsiaTheme="minorEastAsia"/>
          <w:b/>
          <w:bCs/>
          <w:sz w:val="24"/>
          <w:lang w:val="en-US" w:eastAsia="zh-CN"/>
        </w:rPr>
        <w:t>六</w:t>
      </w:r>
      <w:r>
        <w:rPr>
          <w:rFonts w:hint="eastAsia" w:asciiTheme="minorEastAsia" w:hAnsiTheme="minorEastAsia" w:eastAsiaTheme="minorEastAsia"/>
          <w:b/>
          <w:sz w:val="24"/>
          <w:lang w:val="en-US" w:eastAsia="zh-CN"/>
        </w:rPr>
        <w:t>、</w:t>
      </w:r>
      <w:r>
        <w:rPr>
          <w:rFonts w:hint="eastAsia" w:asciiTheme="minorEastAsia" w:hAnsiTheme="minorEastAsia" w:eastAsiaTheme="minorEastAsia"/>
          <w:b/>
          <w:sz w:val="24"/>
        </w:rPr>
        <w:t>交易目的和对公司的影响</w:t>
      </w:r>
    </w:p>
    <w:p w14:paraId="34F44FC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sz w:val="24"/>
          <w:lang w:val="en-US" w:eastAsia="zh-CN"/>
        </w:rPr>
      </w:pPr>
      <w:r>
        <w:rPr>
          <w:rFonts w:hint="eastAsia" w:ascii="宋体" w:hAnsi="宋体"/>
          <w:sz w:val="24"/>
          <w:lang w:val="en-US" w:eastAsia="zh-CN"/>
        </w:rPr>
        <w:t>公司本次受托管理马森能源，为打造碳三全产业链创造了条件，使得公司的盈利模式多元化，同时为下游制造业发展提供了更有竞争力的原料成本优势。</w:t>
      </w:r>
    </w:p>
    <w:p w14:paraId="2DC55830">
      <w:pPr>
        <w:spacing w:line="360" w:lineRule="auto"/>
        <w:ind w:firstLine="480" w:firstLineChars="200"/>
        <w:rPr>
          <w:rFonts w:hint="eastAsia" w:ascii="宋体" w:hAnsi="宋体" w:cs="宋体"/>
          <w:sz w:val="24"/>
          <w:lang w:val="en-US" w:eastAsia="zh-CN" w:bidi="ar"/>
        </w:rPr>
      </w:pPr>
      <w:r>
        <w:rPr>
          <w:rFonts w:hint="eastAsia" w:ascii="宋体" w:hAnsi="宋体" w:cs="宋体"/>
          <w:sz w:val="24"/>
          <w:lang w:val="en-US" w:eastAsia="zh-CN" w:bidi="ar"/>
        </w:rPr>
        <w:t>本次托管不存在损害公司和中小股东利益的情形，不会影响公司业务独立性，本次托管公司仅对托管标的公司股权进行经营管理并收取管理费，不会导致公司的合并报表范围发生变化；本次托管对公司的业务独立性无重大影响，公司不会因履行《委托管理协议》而对协议对方形成依赖。</w:t>
      </w:r>
    </w:p>
    <w:p w14:paraId="0F6D5CD8">
      <w:pPr>
        <w:spacing w:line="360" w:lineRule="auto"/>
        <w:ind w:firstLine="463" w:firstLineChars="192"/>
        <w:outlineLvl w:val="0"/>
        <w:rPr>
          <w:rFonts w:asciiTheme="minorEastAsia" w:hAnsiTheme="minorEastAsia" w:eastAsiaTheme="minorEastAsia"/>
          <w:b/>
          <w:sz w:val="24"/>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、与该关联人累计已发生的各类关联交易情况</w:t>
      </w:r>
    </w:p>
    <w:p w14:paraId="418BA83E">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rPr>
        <w:t>当年年初至披露日与该关联人（包含受同一主体控制或相互存在控制关系的其他关联人）累计已发生的各类关联交易的</w:t>
      </w:r>
      <w:r>
        <w:rPr>
          <w:rFonts w:hint="eastAsia" w:ascii="宋体" w:hAnsi="宋体" w:cs="宋体"/>
          <w:kern w:val="0"/>
          <w:sz w:val="24"/>
          <w:highlight w:val="none"/>
        </w:rPr>
        <w:t>总金额</w:t>
      </w:r>
      <w:r>
        <w:rPr>
          <w:rFonts w:hint="eastAsia" w:ascii="宋体" w:hAnsi="宋体" w:cs="宋体"/>
          <w:kern w:val="0"/>
          <w:sz w:val="24"/>
          <w:highlight w:val="none"/>
          <w:lang w:val="en-US" w:eastAsia="zh-CN"/>
        </w:rPr>
        <w:t>为4.75亿元</w:t>
      </w:r>
      <w:r>
        <w:rPr>
          <w:rFonts w:hint="eastAsia" w:ascii="宋体" w:hAnsi="宋体" w:cs="宋体"/>
          <w:kern w:val="0"/>
          <w:sz w:val="24"/>
          <w:highlight w:val="none"/>
        </w:rPr>
        <w:t>。</w:t>
      </w:r>
    </w:p>
    <w:p w14:paraId="0E8473F4">
      <w:pPr>
        <w:spacing w:line="360" w:lineRule="auto"/>
        <w:ind w:firstLine="480" w:firstLineChars="200"/>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以上关联交易</w:t>
      </w:r>
      <w:r>
        <w:rPr>
          <w:rFonts w:hint="eastAsia" w:ascii="宋体" w:hAnsi="宋体"/>
          <w:sz w:val="24"/>
          <w:lang w:val="en-US" w:eastAsia="zh-CN"/>
        </w:rPr>
        <w:t>事项及金额已经2023年年度股东大会及第六届董事会第三十九次会议审议通过，详见《2023年年度股东大会决议公告》（</w:t>
      </w:r>
      <w:r>
        <w:rPr>
          <w:rFonts w:hint="eastAsia" w:ascii="宋体" w:hAnsi="宋体" w:cs="宋体"/>
          <w:kern w:val="0"/>
          <w:sz w:val="24"/>
        </w:rPr>
        <w:t>公告编号：</w:t>
      </w:r>
      <w:r>
        <w:rPr>
          <w:rFonts w:hint="eastAsia" w:ascii="宋体" w:hAnsi="宋体"/>
          <w:kern w:val="0"/>
          <w:sz w:val="24"/>
          <w:lang w:val="en-US" w:eastAsia="zh-CN"/>
        </w:rPr>
        <w:t>2024-035</w:t>
      </w:r>
      <w:r>
        <w:rPr>
          <w:rFonts w:hint="eastAsia" w:ascii="宋体" w:hAnsi="宋体"/>
          <w:sz w:val="24"/>
          <w:lang w:val="en-US" w:eastAsia="zh-CN"/>
        </w:rPr>
        <w:t>）及《第六届董事会第三十九次会议决议公告》（</w:t>
      </w:r>
      <w:r>
        <w:rPr>
          <w:rFonts w:hint="eastAsia" w:ascii="宋体" w:hAnsi="宋体" w:cs="宋体"/>
          <w:color w:val="000000" w:themeColor="text1"/>
          <w:kern w:val="0"/>
          <w:sz w:val="24"/>
          <w14:textFill>
            <w14:solidFill>
              <w14:schemeClr w14:val="tx1"/>
            </w14:solidFill>
          </w14:textFill>
        </w:rPr>
        <w:t>公告编号：</w:t>
      </w:r>
      <w:r>
        <w:rPr>
          <w:rFonts w:hint="eastAsia" w:ascii="宋体" w:hAnsi="宋体" w:cs="宋体"/>
          <w:color w:val="000000" w:themeColor="text1"/>
          <w:kern w:val="0"/>
          <w:sz w:val="24"/>
          <w:lang w:val="en-US" w:eastAsia="zh-CN"/>
          <w14:textFill>
            <w14:solidFill>
              <w14:schemeClr w14:val="tx1"/>
            </w14:solidFill>
          </w14:textFill>
        </w:rPr>
        <w:t>2024-019</w:t>
      </w:r>
      <w:r>
        <w:rPr>
          <w:rFonts w:hint="eastAsia" w:ascii="宋体" w:hAnsi="宋体"/>
          <w:sz w:val="24"/>
          <w:lang w:val="en-US" w:eastAsia="zh-CN"/>
        </w:rPr>
        <w:t>）。</w:t>
      </w:r>
    </w:p>
    <w:p w14:paraId="5C7FC8AF">
      <w:pPr>
        <w:spacing w:line="360" w:lineRule="auto"/>
        <w:ind w:firstLine="463" w:firstLineChars="192"/>
        <w:outlineLvl w:val="0"/>
        <w:rPr>
          <w:rFonts w:asciiTheme="minorEastAsia" w:hAnsiTheme="minorEastAsia" w:eastAsiaTheme="minorEastAsia"/>
          <w:b/>
          <w:sz w:val="24"/>
        </w:rPr>
      </w:pPr>
      <w:r>
        <w:rPr>
          <w:rFonts w:hint="eastAsia" w:asciiTheme="minorEastAsia" w:hAnsiTheme="minorEastAsia" w:eastAsiaTheme="minorEastAsia"/>
          <w:b/>
          <w:sz w:val="24"/>
          <w:lang w:val="en-US" w:eastAsia="zh-CN"/>
        </w:rPr>
        <w:t>八</w:t>
      </w:r>
      <w:r>
        <w:rPr>
          <w:rFonts w:hint="eastAsia" w:asciiTheme="minorEastAsia" w:hAnsiTheme="minorEastAsia" w:eastAsiaTheme="minorEastAsia"/>
          <w:b/>
          <w:sz w:val="24"/>
        </w:rPr>
        <w:t>、交易履行的决策程序</w:t>
      </w:r>
    </w:p>
    <w:p w14:paraId="3882E37E">
      <w:pPr>
        <w:keepNext w:val="0"/>
        <w:keepLines w:val="0"/>
        <w:pageBreakBefore w:val="0"/>
        <w:kinsoku/>
        <w:wordWrap/>
        <w:overflowPunct/>
        <w:topLinePunct w:val="0"/>
        <w:autoSpaceDE/>
        <w:autoSpaceDN/>
        <w:bidi w:val="0"/>
        <w:adjustRightInd/>
        <w:snapToGrid/>
        <w:spacing w:line="360" w:lineRule="auto"/>
        <w:ind w:left="23" w:right="-88" w:rightChars="0" w:firstLine="456" w:firstLineChars="200"/>
        <w:textAlignment w:val="auto"/>
        <w:rPr>
          <w:rFonts w:hint="eastAsia" w:ascii="宋体" w:hAnsi="宋体"/>
          <w:sz w:val="18"/>
          <w:szCs w:val="18"/>
        </w:rPr>
      </w:pPr>
      <w:r>
        <w:rPr>
          <w:rFonts w:hint="eastAsia" w:ascii="宋体" w:hAnsi="宋体" w:cs="宋体"/>
          <w:spacing w:val="-6"/>
          <w:sz w:val="24"/>
          <w:szCs w:val="24"/>
          <w:lang w:val="en-US" w:eastAsia="zh-CN"/>
        </w:rPr>
        <w:t>本事项需公司2025年第一次临时股东大会审议</w:t>
      </w:r>
      <w:r>
        <w:rPr>
          <w:rFonts w:hint="eastAsia" w:ascii="宋体" w:hAnsi="宋体" w:eastAsia="宋体" w:cs="宋体"/>
          <w:spacing w:val="1"/>
          <w:sz w:val="24"/>
          <w:szCs w:val="24"/>
          <w:lang w:val="en-US" w:eastAsia="zh-CN"/>
        </w:rPr>
        <w:t>。</w:t>
      </w:r>
    </w:p>
    <w:p w14:paraId="7D83AC65">
      <w:pPr>
        <w:spacing w:line="360" w:lineRule="auto"/>
        <w:ind w:firstLine="463" w:firstLineChars="192"/>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、备查文件</w:t>
      </w:r>
    </w:p>
    <w:p w14:paraId="5A047706">
      <w:pPr>
        <w:spacing w:line="360" w:lineRule="auto"/>
        <w:ind w:firstLine="460" w:firstLineChars="192"/>
        <w:rPr>
          <w:rFonts w:hint="eastAsia" w:ascii="宋体" w:hAnsi="宋体" w:cs="宋体"/>
          <w:b w:val="0"/>
          <w:bCs/>
          <w:sz w:val="24"/>
          <w:lang w:val="en-US" w:eastAsia="zh-CN"/>
        </w:rPr>
      </w:pPr>
      <w:r>
        <w:rPr>
          <w:rFonts w:hint="eastAsia" w:asciiTheme="minorEastAsia" w:hAnsiTheme="minorEastAsia" w:eastAsiaTheme="minorEastAsia"/>
          <w:sz w:val="24"/>
          <w:lang w:val="en-US" w:eastAsia="zh-CN"/>
        </w:rPr>
        <w:t>1、</w:t>
      </w:r>
      <w:r>
        <w:rPr>
          <w:rFonts w:hint="eastAsia" w:ascii="宋体" w:hAnsi="宋体" w:cs="宋体"/>
          <w:b w:val="0"/>
          <w:bCs/>
          <w:sz w:val="24"/>
          <w:lang w:val="en-US" w:eastAsia="zh-CN"/>
        </w:rPr>
        <w:t>《关于增加东华能源股份有限公司2025年第一次临时股东大会临时提案的函》；</w:t>
      </w:r>
    </w:p>
    <w:p w14:paraId="6C650933">
      <w:pPr>
        <w:spacing w:line="360" w:lineRule="auto"/>
        <w:ind w:firstLine="460" w:firstLineChars="192"/>
        <w:rPr>
          <w:rFonts w:hint="eastAsia" w:asciiTheme="minorEastAsia" w:hAnsiTheme="minorEastAsia" w:eastAsiaTheme="minorEastAsia"/>
          <w:sz w:val="24"/>
          <w:lang w:val="en-US" w:eastAsia="zh-CN"/>
        </w:rPr>
      </w:pPr>
      <w:r>
        <w:rPr>
          <w:rFonts w:hint="eastAsia" w:ascii="宋体" w:hAnsi="宋体" w:cs="宋体"/>
          <w:b w:val="0"/>
          <w:bCs/>
          <w:sz w:val="24"/>
          <w:lang w:val="en-US" w:eastAsia="zh-CN"/>
        </w:rPr>
        <w:t>2、</w:t>
      </w:r>
      <w:r>
        <w:rPr>
          <w:rFonts w:hint="eastAsia" w:asciiTheme="minorEastAsia" w:hAnsiTheme="minorEastAsia" w:eastAsiaTheme="minorEastAsia"/>
          <w:sz w:val="24"/>
          <w:lang w:val="en-US" w:eastAsia="zh-CN"/>
        </w:rPr>
        <w:t>拟签署的《委托管理协议》。</w:t>
      </w:r>
    </w:p>
    <w:p w14:paraId="105F0348">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特此公告。</w:t>
      </w:r>
    </w:p>
    <w:p w14:paraId="758357C5">
      <w:pPr>
        <w:spacing w:line="360" w:lineRule="auto"/>
        <w:ind w:firstLine="460" w:firstLineChars="192"/>
        <w:rPr>
          <w:rFonts w:hint="eastAsia" w:asciiTheme="minorEastAsia" w:hAnsiTheme="minorEastAsia" w:eastAsiaTheme="minorEastAsia"/>
          <w:sz w:val="24"/>
        </w:rPr>
      </w:pPr>
    </w:p>
    <w:p w14:paraId="6FEA24FE">
      <w:pPr>
        <w:spacing w:line="360" w:lineRule="auto"/>
        <w:ind w:firstLine="5558" w:firstLineChars="2307"/>
        <w:jc w:val="right"/>
        <w:rPr>
          <w:rFonts w:asciiTheme="minorEastAsia" w:hAnsiTheme="minorEastAsia" w:eastAsiaTheme="minorEastAsia"/>
          <w:b/>
          <w:sz w:val="24"/>
        </w:rPr>
      </w:pPr>
      <w:r>
        <w:rPr>
          <w:rFonts w:hint="eastAsia" w:asciiTheme="minorEastAsia" w:hAnsiTheme="minorEastAsia" w:eastAsiaTheme="minorEastAsia"/>
          <w:b/>
          <w:sz w:val="24"/>
        </w:rPr>
        <w:t>东华能源股份有限公司</w:t>
      </w:r>
    </w:p>
    <w:p w14:paraId="39D64B9A">
      <w:pPr>
        <w:spacing w:line="360" w:lineRule="auto"/>
        <w:ind w:firstLine="843" w:firstLineChars="350"/>
        <w:rPr>
          <w:rFonts w:asciiTheme="minorEastAsia" w:hAnsiTheme="minorEastAsia" w:eastAsiaTheme="minorEastAsia"/>
          <w:b/>
          <w:sz w:val="24"/>
          <w:highlight w:val="none"/>
        </w:rPr>
      </w:pPr>
      <w:r>
        <w:rPr>
          <w:rFonts w:hint="eastAsia" w:asciiTheme="minorEastAsia" w:hAnsiTheme="minorEastAsia" w:eastAsiaTheme="minorEastAsia"/>
          <w:b/>
          <w:sz w:val="24"/>
        </w:rPr>
        <w:t xml:space="preserve">                                             </w:t>
      </w:r>
      <w:r>
        <w:rPr>
          <w:rFonts w:hint="eastAsia" w:asciiTheme="minorEastAsia" w:hAnsiTheme="minorEastAsia" w:eastAsiaTheme="minorEastAsia"/>
          <w:b/>
          <w:sz w:val="24"/>
          <w:highlight w:val="none"/>
        </w:rPr>
        <w:t xml:space="preserve">    董事会</w:t>
      </w:r>
    </w:p>
    <w:p w14:paraId="7960DA9C">
      <w:pPr>
        <w:spacing w:line="360" w:lineRule="auto"/>
        <w:ind w:right="240" w:firstLine="480"/>
        <w:jc w:val="right"/>
        <w:rPr>
          <w:rFonts w:hint="eastAsia" w:ascii="宋体" w:hAnsi="宋体"/>
          <w:color w:val="000000"/>
          <w:sz w:val="24"/>
          <w:highlight w:val="none"/>
          <w:lang w:val="en-US" w:eastAsia="zh-CN"/>
        </w:rPr>
      </w:pPr>
      <w:r>
        <w:rPr>
          <w:rFonts w:hint="eastAsia" w:asciiTheme="minorEastAsia" w:hAnsiTheme="minorEastAsia" w:eastAsiaTheme="minorEastAsia"/>
          <w:b/>
          <w:sz w:val="24"/>
          <w:highlight w:val="none"/>
        </w:rPr>
        <w:t>202</w:t>
      </w:r>
      <w:r>
        <w:rPr>
          <w:rFonts w:hint="eastAsia" w:asciiTheme="minorEastAsia" w:hAnsiTheme="minorEastAsia" w:eastAsiaTheme="minorEastAsia"/>
          <w:b/>
          <w:sz w:val="24"/>
          <w:highlight w:val="none"/>
          <w:lang w:val="en-US" w:eastAsia="zh-CN"/>
        </w:rPr>
        <w:t>5</w:t>
      </w:r>
      <w:r>
        <w:rPr>
          <w:rFonts w:hint="eastAsia" w:asciiTheme="minorEastAsia" w:hAnsiTheme="minorEastAsia" w:eastAsiaTheme="minorEastAsia"/>
          <w:b/>
          <w:sz w:val="24"/>
          <w:highlight w:val="none"/>
        </w:rPr>
        <w:t>年</w:t>
      </w:r>
      <w:r>
        <w:rPr>
          <w:rFonts w:hint="eastAsia" w:asciiTheme="minorEastAsia" w:hAnsiTheme="minorEastAsia" w:eastAsiaTheme="minorEastAsia"/>
          <w:b/>
          <w:sz w:val="24"/>
          <w:highlight w:val="none"/>
          <w:lang w:val="en-US" w:eastAsia="zh-CN"/>
        </w:rPr>
        <w:t>2</w:t>
      </w:r>
      <w:r>
        <w:rPr>
          <w:rFonts w:hint="eastAsia" w:asciiTheme="minorEastAsia" w:hAnsiTheme="minorEastAsia" w:eastAsiaTheme="minorEastAsia"/>
          <w:b/>
          <w:sz w:val="24"/>
          <w:highlight w:val="none"/>
        </w:rPr>
        <w:t>月</w:t>
      </w:r>
      <w:r>
        <w:rPr>
          <w:rFonts w:hint="eastAsia" w:asciiTheme="minorEastAsia" w:hAnsiTheme="minorEastAsia" w:eastAsiaTheme="minorEastAsia"/>
          <w:b/>
          <w:sz w:val="24"/>
          <w:highlight w:val="none"/>
          <w:lang w:val="en-US" w:eastAsia="zh-CN"/>
        </w:rPr>
        <w:t>24</w:t>
      </w:r>
      <w:r>
        <w:rPr>
          <w:rFonts w:hint="eastAsia" w:asciiTheme="minorEastAsia" w:hAnsiTheme="minorEastAsia" w:eastAsiaTheme="minorEastAsia"/>
          <w:b/>
          <w:sz w:val="24"/>
          <w:highlight w:val="none"/>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C1768"/>
    <w:multiLevelType w:val="singleLevel"/>
    <w:tmpl w:val="DD2C176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MmMzNDkwMTk2MDJlYjU1ZDFjYzVjOGJmMzc3ODgifQ=="/>
  </w:docVars>
  <w:rsids>
    <w:rsidRoot w:val="00000000"/>
    <w:rsid w:val="00013654"/>
    <w:rsid w:val="00F50CDF"/>
    <w:rsid w:val="01CE57B8"/>
    <w:rsid w:val="026B74AB"/>
    <w:rsid w:val="029307AF"/>
    <w:rsid w:val="02B524D4"/>
    <w:rsid w:val="0328714A"/>
    <w:rsid w:val="03724869"/>
    <w:rsid w:val="04073203"/>
    <w:rsid w:val="04194CE4"/>
    <w:rsid w:val="04D56FFE"/>
    <w:rsid w:val="04E43544"/>
    <w:rsid w:val="05824F98"/>
    <w:rsid w:val="05922FA0"/>
    <w:rsid w:val="05D15877"/>
    <w:rsid w:val="060D1EE5"/>
    <w:rsid w:val="06255BC2"/>
    <w:rsid w:val="064E336B"/>
    <w:rsid w:val="07373DFF"/>
    <w:rsid w:val="07F97307"/>
    <w:rsid w:val="0A7C551C"/>
    <w:rsid w:val="0A9E7CF1"/>
    <w:rsid w:val="0B8909A2"/>
    <w:rsid w:val="0BAE0408"/>
    <w:rsid w:val="0BF56037"/>
    <w:rsid w:val="0D6C2329"/>
    <w:rsid w:val="0E1924B1"/>
    <w:rsid w:val="0E5F68A3"/>
    <w:rsid w:val="0E9D4E90"/>
    <w:rsid w:val="0ED95235"/>
    <w:rsid w:val="0EE91E83"/>
    <w:rsid w:val="0F611966"/>
    <w:rsid w:val="101F18D4"/>
    <w:rsid w:val="104D01F0"/>
    <w:rsid w:val="10E20922"/>
    <w:rsid w:val="11513D10"/>
    <w:rsid w:val="11BB562D"/>
    <w:rsid w:val="120668A8"/>
    <w:rsid w:val="12B427A8"/>
    <w:rsid w:val="12DB7D35"/>
    <w:rsid w:val="15CF4649"/>
    <w:rsid w:val="15EA028F"/>
    <w:rsid w:val="166B7621"/>
    <w:rsid w:val="16E573D4"/>
    <w:rsid w:val="17D2722C"/>
    <w:rsid w:val="18622CA6"/>
    <w:rsid w:val="18932E60"/>
    <w:rsid w:val="18C80D5B"/>
    <w:rsid w:val="19962C07"/>
    <w:rsid w:val="199929C0"/>
    <w:rsid w:val="199C5EF7"/>
    <w:rsid w:val="1B157B5C"/>
    <w:rsid w:val="1BC53330"/>
    <w:rsid w:val="1CFD5114"/>
    <w:rsid w:val="1D320E99"/>
    <w:rsid w:val="1D3F0C06"/>
    <w:rsid w:val="1DB4564C"/>
    <w:rsid w:val="1E71154D"/>
    <w:rsid w:val="1FD9384E"/>
    <w:rsid w:val="204A155E"/>
    <w:rsid w:val="214116AB"/>
    <w:rsid w:val="217F6677"/>
    <w:rsid w:val="2221328A"/>
    <w:rsid w:val="225278E7"/>
    <w:rsid w:val="22B343FA"/>
    <w:rsid w:val="23201794"/>
    <w:rsid w:val="23B26890"/>
    <w:rsid w:val="23CB7951"/>
    <w:rsid w:val="24373239"/>
    <w:rsid w:val="24466FD8"/>
    <w:rsid w:val="25207829"/>
    <w:rsid w:val="25714529"/>
    <w:rsid w:val="26323CB8"/>
    <w:rsid w:val="26E4176B"/>
    <w:rsid w:val="26F62F37"/>
    <w:rsid w:val="28665E9B"/>
    <w:rsid w:val="28ED3EC6"/>
    <w:rsid w:val="29E76B67"/>
    <w:rsid w:val="2B253DEB"/>
    <w:rsid w:val="2C2B5431"/>
    <w:rsid w:val="2D3622E0"/>
    <w:rsid w:val="2D6E002B"/>
    <w:rsid w:val="2D6F134E"/>
    <w:rsid w:val="2DFB7085"/>
    <w:rsid w:val="2EF37D5C"/>
    <w:rsid w:val="2F706CFA"/>
    <w:rsid w:val="309C68FD"/>
    <w:rsid w:val="30CC39FA"/>
    <w:rsid w:val="31496359"/>
    <w:rsid w:val="3227669B"/>
    <w:rsid w:val="332901F1"/>
    <w:rsid w:val="35A1558E"/>
    <w:rsid w:val="360D75DF"/>
    <w:rsid w:val="36274EBB"/>
    <w:rsid w:val="36AA789A"/>
    <w:rsid w:val="372C6501"/>
    <w:rsid w:val="37313B18"/>
    <w:rsid w:val="375A306E"/>
    <w:rsid w:val="375C0B95"/>
    <w:rsid w:val="38433B03"/>
    <w:rsid w:val="393F42CA"/>
    <w:rsid w:val="3A7524FB"/>
    <w:rsid w:val="3ACA4067"/>
    <w:rsid w:val="3BBC42F8"/>
    <w:rsid w:val="3CF96E86"/>
    <w:rsid w:val="3D826E7B"/>
    <w:rsid w:val="3DEE3528"/>
    <w:rsid w:val="3E4630D6"/>
    <w:rsid w:val="3E5C147A"/>
    <w:rsid w:val="3EB47508"/>
    <w:rsid w:val="3EBC63BD"/>
    <w:rsid w:val="3EE00F3F"/>
    <w:rsid w:val="3EF773F5"/>
    <w:rsid w:val="403326AF"/>
    <w:rsid w:val="41510128"/>
    <w:rsid w:val="416B7C26"/>
    <w:rsid w:val="41B94E35"/>
    <w:rsid w:val="424961B9"/>
    <w:rsid w:val="43512C0C"/>
    <w:rsid w:val="43E02B4D"/>
    <w:rsid w:val="459534C4"/>
    <w:rsid w:val="4646138E"/>
    <w:rsid w:val="479C4FDD"/>
    <w:rsid w:val="47F22E4F"/>
    <w:rsid w:val="491F7C74"/>
    <w:rsid w:val="49543C25"/>
    <w:rsid w:val="4B337A07"/>
    <w:rsid w:val="4BC15012"/>
    <w:rsid w:val="4C465518"/>
    <w:rsid w:val="4D471547"/>
    <w:rsid w:val="4D9724CF"/>
    <w:rsid w:val="4DFA2A5E"/>
    <w:rsid w:val="4E5740C6"/>
    <w:rsid w:val="4E86609F"/>
    <w:rsid w:val="500951DA"/>
    <w:rsid w:val="503F29AA"/>
    <w:rsid w:val="518B234A"/>
    <w:rsid w:val="51BD4B87"/>
    <w:rsid w:val="51DD247A"/>
    <w:rsid w:val="540E1011"/>
    <w:rsid w:val="54723C50"/>
    <w:rsid w:val="55052414"/>
    <w:rsid w:val="55A065F3"/>
    <w:rsid w:val="55AB2B4A"/>
    <w:rsid w:val="566D3AA2"/>
    <w:rsid w:val="56D95906"/>
    <w:rsid w:val="57E42AC7"/>
    <w:rsid w:val="58A12453"/>
    <w:rsid w:val="58D63B5A"/>
    <w:rsid w:val="58D8628D"/>
    <w:rsid w:val="5A1D1FAE"/>
    <w:rsid w:val="5AB65EC2"/>
    <w:rsid w:val="5AE623A0"/>
    <w:rsid w:val="5B835B56"/>
    <w:rsid w:val="5C58107B"/>
    <w:rsid w:val="5D9F2CDA"/>
    <w:rsid w:val="5E3B6EA6"/>
    <w:rsid w:val="5E712981"/>
    <w:rsid w:val="5E7A79CF"/>
    <w:rsid w:val="5ECA14D4"/>
    <w:rsid w:val="5F2F2D8E"/>
    <w:rsid w:val="6127413C"/>
    <w:rsid w:val="61E17D65"/>
    <w:rsid w:val="62B27782"/>
    <w:rsid w:val="62FB09B2"/>
    <w:rsid w:val="634405AB"/>
    <w:rsid w:val="638766EA"/>
    <w:rsid w:val="65DD6A95"/>
    <w:rsid w:val="666B73A8"/>
    <w:rsid w:val="669B6734"/>
    <w:rsid w:val="671E1113"/>
    <w:rsid w:val="676B57EB"/>
    <w:rsid w:val="677D0530"/>
    <w:rsid w:val="67BD26E2"/>
    <w:rsid w:val="67E1155E"/>
    <w:rsid w:val="67E67E83"/>
    <w:rsid w:val="684D3A5E"/>
    <w:rsid w:val="687C246A"/>
    <w:rsid w:val="68AD09A1"/>
    <w:rsid w:val="69794B1B"/>
    <w:rsid w:val="6A3679CF"/>
    <w:rsid w:val="6A9F256B"/>
    <w:rsid w:val="6AB75B07"/>
    <w:rsid w:val="6ABA73A5"/>
    <w:rsid w:val="6B7C465A"/>
    <w:rsid w:val="6C4B29AA"/>
    <w:rsid w:val="6CE34991"/>
    <w:rsid w:val="6DC81DD9"/>
    <w:rsid w:val="6DCE5641"/>
    <w:rsid w:val="6E804751"/>
    <w:rsid w:val="6EF020B7"/>
    <w:rsid w:val="704A3B35"/>
    <w:rsid w:val="70671D7D"/>
    <w:rsid w:val="7148570A"/>
    <w:rsid w:val="72872262"/>
    <w:rsid w:val="729A1F96"/>
    <w:rsid w:val="74375DA0"/>
    <w:rsid w:val="74D55507"/>
    <w:rsid w:val="768C6099"/>
    <w:rsid w:val="76DB492B"/>
    <w:rsid w:val="76E61D8F"/>
    <w:rsid w:val="781F6A99"/>
    <w:rsid w:val="784E1D63"/>
    <w:rsid w:val="789B0816"/>
    <w:rsid w:val="78BC253A"/>
    <w:rsid w:val="794013BD"/>
    <w:rsid w:val="7B65510B"/>
    <w:rsid w:val="7B821819"/>
    <w:rsid w:val="7BAD5B0F"/>
    <w:rsid w:val="7BE2675B"/>
    <w:rsid w:val="7C0028A7"/>
    <w:rsid w:val="7CE0713F"/>
    <w:rsid w:val="7D6F401F"/>
    <w:rsid w:val="7ECB1729"/>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 w:type="paragraph" w:styleId="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3591</Words>
  <Characters>4191</Characters>
  <Lines>0</Lines>
  <Paragraphs>0</Paragraphs>
  <TotalTime>1</TotalTime>
  <ScaleCrop>false</ScaleCrop>
  <LinksUpToDate>false</LinksUpToDate>
  <CharactersWithSpaces>4283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2023-05-29T05:34:00Z</dcterms:created>
  <dc:creator>Administrator</dc:creator>
  <cp:lastModifiedBy>P YF</cp:lastModifiedBy>
  <cp:lastPrinted>2025-01-23T07:01:00Z</cp:lastPrinted>
  <dcterms:modified xsi:type="dcterms:W3CDTF">2025-02-24T07:19:19Z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E23341703C974DED80B7EA392AA8046E_13</vt:lpwstr>
  </property>
  <property fmtid="{D5CDD505-2E9C-101B-9397-08002B2CF9AE}" pid="4" name="KSOTemplateDocerSaveRecord">
    <vt:lpwstr>eyJoZGlkIjoiYzNjNDkwZWZmZjM4MGI2Y2RmNjYzYjEzYThmNmY2YTQiLCJ1c2VySWQiOiIyMTAwNzI1NjMifQ==</vt:lpwstr>
  </property>
</Properties>
</file>