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AB3C2">
      <w:pPr>
        <w:tabs>
          <w:tab w:val="left" w:pos="1620"/>
        </w:tabs>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cs="宋体"/>
          <w:kern w:val="0"/>
          <w:sz w:val="24"/>
        </w:rPr>
        <w:t>证券代码：002221         证券简称：东华能源        公告编号：202</w:t>
      </w:r>
      <w:r>
        <w:rPr>
          <w:rFonts w:hint="eastAsia" w:ascii="宋体" w:hAnsi="宋体" w:cs="宋体"/>
          <w:kern w:val="0"/>
          <w:sz w:val="24"/>
          <w:lang w:val="en-US" w:eastAsia="zh-CN"/>
        </w:rPr>
        <w:t>5-008</w:t>
      </w:r>
    </w:p>
    <w:p w14:paraId="5B39B3AF">
      <w:pPr>
        <w:spacing w:line="360" w:lineRule="auto"/>
        <w:rPr>
          <w:rFonts w:ascii="宋体" w:hAnsi="宋体" w:cs="宋体"/>
          <w:b/>
          <w:sz w:val="30"/>
          <w:szCs w:val="30"/>
        </w:rPr>
      </w:pPr>
      <w:r>
        <w:rPr>
          <w:rFonts w:hint="eastAsia" w:ascii="宋体" w:hAnsi="宋体" w:cs="宋体"/>
          <w:b/>
          <w:sz w:val="32"/>
          <w:szCs w:val="32"/>
        </w:rPr>
        <w:drawing>
          <wp:inline distT="0" distB="0" distL="0" distR="0">
            <wp:extent cx="1047115" cy="3238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1047115" cy="323850"/>
                    </a:xfrm>
                    <a:prstGeom prst="rect">
                      <a:avLst/>
                    </a:prstGeom>
                    <a:noFill/>
                    <a:ln w="9525">
                      <a:noFill/>
                      <a:miter lim="800000"/>
                      <a:headEnd/>
                      <a:tailEnd/>
                    </a:ln>
                  </pic:spPr>
                </pic:pic>
              </a:graphicData>
            </a:graphic>
          </wp:inline>
        </w:drawing>
      </w:r>
    </w:p>
    <w:p w14:paraId="492D5F3E">
      <w:pPr>
        <w:spacing w:line="360" w:lineRule="auto"/>
        <w:jc w:val="center"/>
        <w:rPr>
          <w:rFonts w:ascii="宋体" w:hAnsi="宋体" w:cs="宋体"/>
          <w:b/>
          <w:sz w:val="28"/>
          <w:szCs w:val="28"/>
        </w:rPr>
      </w:pPr>
      <w:r>
        <w:rPr>
          <w:rFonts w:hint="eastAsia" w:ascii="宋体" w:hAnsi="宋体" w:cs="宋体"/>
          <w:b/>
          <w:sz w:val="28"/>
          <w:szCs w:val="28"/>
        </w:rPr>
        <w:t>东华能源股份有限公司</w:t>
      </w:r>
    </w:p>
    <w:p w14:paraId="40034AD4">
      <w:pPr>
        <w:spacing w:line="360" w:lineRule="auto"/>
        <w:jc w:val="center"/>
        <w:rPr>
          <w:rFonts w:ascii="宋体" w:hAnsi="宋体" w:cs="宋体"/>
          <w:sz w:val="28"/>
          <w:szCs w:val="28"/>
        </w:rPr>
      </w:pPr>
      <w:r>
        <w:rPr>
          <w:rFonts w:hint="eastAsia" w:ascii="宋体" w:hAnsi="宋体" w:cs="宋体"/>
          <w:b/>
          <w:sz w:val="28"/>
          <w:szCs w:val="28"/>
        </w:rPr>
        <w:t>关于召开</w:t>
      </w:r>
      <w:r>
        <w:rPr>
          <w:rFonts w:hint="eastAsia" w:ascii="宋体" w:hAnsi="宋体" w:cs="宋体"/>
          <w:b/>
          <w:sz w:val="28"/>
          <w:szCs w:val="28"/>
          <w:lang w:eastAsia="zh-CN"/>
        </w:rPr>
        <w:t>2025年第一次</w:t>
      </w:r>
      <w:r>
        <w:rPr>
          <w:rFonts w:hint="eastAsia" w:ascii="宋体" w:hAnsi="宋体" w:cs="宋体"/>
          <w:b/>
          <w:sz w:val="28"/>
          <w:szCs w:val="28"/>
        </w:rPr>
        <w:t>临时股东大会的通知</w:t>
      </w:r>
    </w:p>
    <w:p w14:paraId="7624144E">
      <w:pPr>
        <w:spacing w:line="360" w:lineRule="auto"/>
        <w:jc w:val="center"/>
        <w:rPr>
          <w:rFonts w:ascii="宋体" w:hAnsi="宋体" w:cs="宋体"/>
          <w:sz w:val="24"/>
        </w:rPr>
      </w:pPr>
    </w:p>
    <w:p w14:paraId="5624B22E">
      <w:pPr>
        <w:spacing w:line="360" w:lineRule="auto"/>
        <w:ind w:firstLine="472" w:firstLineChars="196"/>
        <w:rPr>
          <w:rFonts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28F951EA">
      <w:pPr>
        <w:tabs>
          <w:tab w:val="left" w:pos="5220"/>
        </w:tabs>
        <w:spacing w:line="360" w:lineRule="auto"/>
        <w:ind w:firstLine="480" w:firstLineChars="200"/>
        <w:rPr>
          <w:rFonts w:ascii="宋体" w:hAnsi="宋体" w:cs="宋体"/>
          <w:sz w:val="24"/>
        </w:rPr>
      </w:pPr>
      <w:r>
        <w:rPr>
          <w:rFonts w:hint="eastAsia" w:ascii="宋体" w:hAnsi="宋体" w:cs="宋体"/>
          <w:sz w:val="24"/>
        </w:rPr>
        <w:t>根据《公司法》与《公司章程》的有关规定，经公司</w:t>
      </w:r>
      <w:r>
        <w:rPr>
          <w:rFonts w:hint="eastAsia" w:ascii="宋体" w:hAnsi="宋体" w:cs="宋体"/>
          <w:sz w:val="24"/>
          <w:lang w:eastAsia="zh-CN"/>
        </w:rPr>
        <w:t>第六届董事会第五十二次会议</w:t>
      </w:r>
      <w:r>
        <w:rPr>
          <w:rFonts w:hint="eastAsia" w:ascii="宋体" w:hAnsi="宋体" w:cs="宋体"/>
          <w:sz w:val="24"/>
        </w:rPr>
        <w:t>审议通过，提请召开</w:t>
      </w:r>
      <w:r>
        <w:rPr>
          <w:rFonts w:hint="eastAsia" w:ascii="宋体" w:hAnsi="宋体" w:cs="宋体"/>
          <w:sz w:val="24"/>
          <w:lang w:eastAsia="zh-CN"/>
        </w:rPr>
        <w:t>2025年第一次</w:t>
      </w:r>
      <w:r>
        <w:rPr>
          <w:rFonts w:hint="eastAsia" w:ascii="宋体" w:hAnsi="宋体" w:cs="宋体"/>
          <w:sz w:val="24"/>
        </w:rPr>
        <w:t>临时股东</w:t>
      </w:r>
      <w:r>
        <w:rPr>
          <w:rFonts w:hint="eastAsia" w:ascii="宋体" w:hAnsi="宋体" w:cs="宋体"/>
          <w:sz w:val="24"/>
          <w:highlight w:val="none"/>
        </w:rPr>
        <w:t>大会，有关事项已刊登于</w:t>
      </w:r>
      <w:r>
        <w:rPr>
          <w:rFonts w:hint="eastAsia" w:ascii="宋体" w:hAnsi="宋体" w:cs="宋体"/>
          <w:sz w:val="24"/>
          <w:highlight w:val="none"/>
          <w:lang w:eastAsia="zh-CN"/>
        </w:rPr>
        <w:t>2025年2月18日</w:t>
      </w:r>
      <w:r>
        <w:rPr>
          <w:rFonts w:hint="eastAsia" w:ascii="宋体" w:hAnsi="宋体" w:cs="宋体"/>
          <w:sz w:val="24"/>
          <w:highlight w:val="none"/>
        </w:rPr>
        <w:t>的《证券时报》与巨潮资讯网</w:t>
      </w:r>
      <w:r>
        <w:rPr>
          <w:highlight w:val="none"/>
        </w:rPr>
        <w:fldChar w:fldCharType="begin"/>
      </w:r>
      <w:r>
        <w:rPr>
          <w:highlight w:val="none"/>
        </w:rPr>
        <w:instrText xml:space="preserve"> HYPERLINK "http://www.cninfo.com.cn" </w:instrText>
      </w:r>
      <w:r>
        <w:rPr>
          <w:highlight w:val="none"/>
        </w:rPr>
        <w:fldChar w:fldCharType="separate"/>
      </w:r>
      <w:r>
        <w:rPr>
          <w:rStyle w:val="14"/>
          <w:rFonts w:hint="eastAsia" w:ascii="宋体" w:hAnsi="宋体" w:cs="宋体"/>
          <w:color w:val="auto"/>
          <w:kern w:val="0"/>
          <w:sz w:val="24"/>
          <w:highlight w:val="none"/>
          <w:u w:val="none"/>
        </w:rPr>
        <w:t>www.cninfo.com.cn</w:t>
      </w:r>
      <w:r>
        <w:rPr>
          <w:rStyle w:val="14"/>
          <w:rFonts w:hint="eastAsia" w:ascii="宋体" w:hAnsi="宋体" w:cs="宋体"/>
          <w:color w:val="auto"/>
          <w:kern w:val="0"/>
          <w:sz w:val="24"/>
          <w:highlight w:val="none"/>
          <w:u w:val="none"/>
        </w:rPr>
        <w:fldChar w:fldCharType="end"/>
      </w:r>
      <w:r>
        <w:rPr>
          <w:rFonts w:hint="eastAsia" w:ascii="宋体" w:hAnsi="宋体" w:cs="宋体"/>
          <w:kern w:val="0"/>
          <w:sz w:val="24"/>
        </w:rPr>
        <w:t>。本次会议采取现场投票与网络投票相结合的方式。</w:t>
      </w:r>
      <w:r>
        <w:rPr>
          <w:rFonts w:hint="eastAsia" w:ascii="宋体" w:hAnsi="宋体" w:cs="宋体"/>
          <w:sz w:val="24"/>
        </w:rPr>
        <w:t>现将本次会议的相关事项公告如下：</w:t>
      </w:r>
    </w:p>
    <w:p w14:paraId="1B7E1B20">
      <w:pPr>
        <w:spacing w:line="360" w:lineRule="auto"/>
        <w:ind w:firstLine="482" w:firstLineChars="200"/>
        <w:rPr>
          <w:rFonts w:ascii="宋体" w:hAnsi="宋体"/>
          <w:b/>
          <w:sz w:val="24"/>
        </w:rPr>
      </w:pPr>
      <w:r>
        <w:rPr>
          <w:rFonts w:hint="eastAsia" w:ascii="宋体" w:hAnsi="宋体"/>
          <w:b/>
          <w:sz w:val="24"/>
        </w:rPr>
        <w:t>一、召开会议的基本情况</w:t>
      </w:r>
    </w:p>
    <w:p w14:paraId="69CF5CDE">
      <w:pPr>
        <w:pStyle w:val="17"/>
        <w:spacing w:line="360" w:lineRule="auto"/>
        <w:ind w:firstLine="480" w:firstLineChars="200"/>
        <w:jc w:val="both"/>
        <w:rPr>
          <w:rFonts w:hAnsi="宋体" w:cs="Times New Roman"/>
          <w:color w:val="auto"/>
          <w:kern w:val="2"/>
        </w:rPr>
      </w:pPr>
      <w:r>
        <w:rPr>
          <w:rFonts w:hint="eastAsia" w:hAnsi="宋体" w:cs="Times New Roman"/>
          <w:color w:val="auto"/>
          <w:kern w:val="2"/>
        </w:rPr>
        <w:t>1、股东大会届次：东华能源股份有限公司</w:t>
      </w:r>
      <w:r>
        <w:rPr>
          <w:rFonts w:hint="eastAsia" w:hAnsi="宋体" w:cs="Times New Roman"/>
          <w:color w:val="auto"/>
          <w:kern w:val="2"/>
          <w:lang w:eastAsia="zh-CN"/>
        </w:rPr>
        <w:t>2025年第一次</w:t>
      </w:r>
      <w:r>
        <w:rPr>
          <w:rFonts w:hint="eastAsia" w:hAnsi="宋体" w:cs="Times New Roman"/>
          <w:color w:val="auto"/>
          <w:kern w:val="2"/>
        </w:rPr>
        <w:t>临时</w:t>
      </w:r>
      <w:r>
        <w:rPr>
          <w:rFonts w:hAnsi="宋体" w:cs="Times New Roman"/>
          <w:color w:val="auto"/>
          <w:kern w:val="2"/>
        </w:rPr>
        <w:t>股东大会</w:t>
      </w:r>
      <w:r>
        <w:rPr>
          <w:rFonts w:hint="eastAsia" w:hAnsi="宋体" w:cs="Times New Roman"/>
          <w:color w:val="auto"/>
          <w:kern w:val="2"/>
        </w:rPr>
        <w:t>。</w:t>
      </w:r>
    </w:p>
    <w:p w14:paraId="31898214">
      <w:pPr>
        <w:pStyle w:val="17"/>
        <w:spacing w:line="360" w:lineRule="auto"/>
        <w:ind w:firstLine="480" w:firstLineChars="200"/>
        <w:jc w:val="both"/>
        <w:rPr>
          <w:rFonts w:hAnsi="宋体" w:cs="Times New Roman"/>
          <w:color w:val="auto"/>
          <w:kern w:val="2"/>
        </w:rPr>
      </w:pPr>
      <w:r>
        <w:rPr>
          <w:rFonts w:hint="eastAsia" w:hAnsi="宋体" w:cs="Times New Roman"/>
          <w:color w:val="auto"/>
          <w:kern w:val="2"/>
        </w:rPr>
        <w:t>2、召集人：公司董事会。</w:t>
      </w:r>
    </w:p>
    <w:p w14:paraId="4467FF3C">
      <w:pPr>
        <w:pStyle w:val="17"/>
        <w:spacing w:line="360" w:lineRule="auto"/>
        <w:ind w:firstLine="480" w:firstLineChars="200"/>
        <w:jc w:val="both"/>
        <w:rPr>
          <w:rFonts w:hAnsi="宋体" w:cs="Times New Roman"/>
          <w:color w:val="auto"/>
          <w:kern w:val="2"/>
        </w:rPr>
      </w:pPr>
      <w:r>
        <w:rPr>
          <w:rFonts w:hint="eastAsia" w:hAnsi="宋体"/>
          <w:color w:val="auto"/>
        </w:rPr>
        <w:t>3、会议召开的合法、合规性：召开本次股东大会的议案已经公司</w:t>
      </w:r>
      <w:r>
        <w:rPr>
          <w:rFonts w:hint="eastAsia" w:hAnsi="宋体"/>
          <w:color w:val="auto"/>
          <w:lang w:eastAsia="zh-CN"/>
        </w:rPr>
        <w:t>2025年2月17日</w:t>
      </w:r>
      <w:r>
        <w:rPr>
          <w:rFonts w:hint="eastAsia" w:hAnsi="宋体"/>
          <w:color w:val="auto"/>
        </w:rPr>
        <w:t>召开的</w:t>
      </w:r>
      <w:r>
        <w:rPr>
          <w:rFonts w:hint="eastAsia" w:hAnsi="宋体"/>
          <w:color w:val="auto"/>
          <w:lang w:eastAsia="zh-CN"/>
        </w:rPr>
        <w:t>第六届董事会第五十二次会议</w:t>
      </w:r>
      <w:r>
        <w:rPr>
          <w:rFonts w:hint="eastAsia" w:hAnsi="宋体"/>
          <w:color w:val="auto"/>
        </w:rPr>
        <w:t>审议通过，符合相关法律、深圳证券交易所业务规则</w:t>
      </w:r>
      <w:r>
        <w:rPr>
          <w:rFonts w:hint="eastAsia" w:hAnsi="宋体" w:cs="Times New Roman"/>
          <w:color w:val="auto"/>
          <w:kern w:val="2"/>
        </w:rPr>
        <w:t>以及《公司章程》规定。</w:t>
      </w:r>
    </w:p>
    <w:p w14:paraId="5C09F3AB">
      <w:pPr>
        <w:pStyle w:val="17"/>
        <w:spacing w:line="360" w:lineRule="auto"/>
        <w:ind w:firstLine="480" w:firstLineChars="200"/>
        <w:jc w:val="both"/>
        <w:rPr>
          <w:rFonts w:hAnsi="宋体" w:cs="Times New Roman"/>
          <w:color w:val="auto"/>
          <w:kern w:val="2"/>
        </w:rPr>
      </w:pPr>
      <w:r>
        <w:rPr>
          <w:rFonts w:hint="eastAsia" w:hAnsi="宋体" w:cs="Times New Roman"/>
          <w:color w:val="auto"/>
          <w:kern w:val="2"/>
        </w:rPr>
        <w:t>4、召开的日期、时间：</w:t>
      </w:r>
    </w:p>
    <w:p w14:paraId="203B2ADB">
      <w:pPr>
        <w:spacing w:line="360" w:lineRule="auto"/>
        <w:ind w:firstLine="480" w:firstLineChars="200"/>
        <w:rPr>
          <w:rFonts w:ascii="宋体" w:hAnsi="宋体"/>
          <w:sz w:val="24"/>
        </w:rPr>
      </w:pPr>
      <w:r>
        <w:rPr>
          <w:rFonts w:hint="eastAsia" w:ascii="宋体" w:hAnsi="宋体"/>
          <w:sz w:val="24"/>
        </w:rPr>
        <w:t>现场会</w:t>
      </w:r>
      <w:r>
        <w:rPr>
          <w:rFonts w:hint="eastAsia" w:ascii="宋体" w:hAnsi="宋体"/>
          <w:sz w:val="24"/>
          <w:highlight w:val="none"/>
        </w:rPr>
        <w:t>议时间：</w:t>
      </w:r>
      <w:r>
        <w:rPr>
          <w:rFonts w:hint="eastAsia" w:ascii="宋体" w:hAnsi="宋体"/>
          <w:sz w:val="24"/>
          <w:highlight w:val="none"/>
          <w:lang w:eastAsia="zh-CN"/>
        </w:rPr>
        <w:t>2025年3月6日</w:t>
      </w:r>
      <w:r>
        <w:rPr>
          <w:rFonts w:hint="eastAsia" w:ascii="宋体" w:hAnsi="宋体"/>
          <w:sz w:val="24"/>
          <w:highlight w:val="none"/>
        </w:rPr>
        <w:t>下午14:30—16:00。</w:t>
      </w:r>
    </w:p>
    <w:p w14:paraId="6DAD5EA5">
      <w:pPr>
        <w:autoSpaceDE w:val="0"/>
        <w:autoSpaceDN w:val="0"/>
        <w:adjustRightInd w:val="0"/>
        <w:spacing w:line="360" w:lineRule="auto"/>
        <w:ind w:firstLine="480" w:firstLineChars="200"/>
        <w:rPr>
          <w:rFonts w:ascii="宋体" w:hAnsi="宋体" w:cs="宋体"/>
          <w:kern w:val="0"/>
          <w:sz w:val="24"/>
        </w:rPr>
      </w:pPr>
      <w:r>
        <w:rPr>
          <w:rFonts w:hint="eastAsia" w:ascii="宋体" w:hAnsi="宋体"/>
          <w:sz w:val="24"/>
        </w:rPr>
        <w:t>网络投票时间：通过深圳证券交易所交易系统进行网络投票的具体时间为：</w:t>
      </w:r>
      <w:r>
        <w:rPr>
          <w:rFonts w:hint="eastAsia" w:ascii="宋体" w:hAnsi="宋体"/>
          <w:sz w:val="24"/>
          <w:lang w:eastAsia="zh-CN"/>
        </w:rPr>
        <w:t>2025年3月6日</w:t>
      </w:r>
      <w:r>
        <w:rPr>
          <w:rFonts w:hint="eastAsia" w:ascii="宋体" w:hAnsi="宋体"/>
          <w:sz w:val="24"/>
        </w:rPr>
        <w:t>上午9:15</w:t>
      </w:r>
      <w:r>
        <w:rPr>
          <w:rFonts w:ascii="宋体" w:hAnsi="宋体"/>
          <w:sz w:val="24"/>
        </w:rPr>
        <w:t>-</w:t>
      </w:r>
      <w:r>
        <w:rPr>
          <w:rFonts w:hint="eastAsia" w:ascii="宋体" w:hAnsi="宋体"/>
          <w:sz w:val="24"/>
        </w:rPr>
        <w:t>9</w:t>
      </w:r>
      <w:r>
        <w:rPr>
          <w:rFonts w:ascii="宋体" w:hAnsi="宋体"/>
          <w:sz w:val="24"/>
        </w:rPr>
        <w:t>:</w:t>
      </w:r>
      <w:r>
        <w:rPr>
          <w:rFonts w:hint="eastAsia" w:ascii="宋体" w:hAnsi="宋体"/>
          <w:sz w:val="24"/>
        </w:rPr>
        <w:t>25，9:30-11:30，下午</w:t>
      </w:r>
      <w:r>
        <w:rPr>
          <w:rFonts w:ascii="宋体" w:hAnsi="宋体"/>
          <w:sz w:val="24"/>
        </w:rPr>
        <w:t>13:00-15:00</w:t>
      </w:r>
      <w:r>
        <w:rPr>
          <w:rFonts w:hint="eastAsia" w:ascii="宋体" w:hAnsi="宋体"/>
          <w:sz w:val="24"/>
        </w:rPr>
        <w:t>；通过深圳证券交易所互联</w:t>
      </w:r>
      <w:r>
        <w:rPr>
          <w:rFonts w:hint="eastAsia" w:ascii="宋体" w:hAnsi="宋体" w:cs="宋体"/>
          <w:kern w:val="0"/>
          <w:sz w:val="24"/>
        </w:rPr>
        <w:t>网投票系统投票的具体时间为：</w:t>
      </w:r>
      <w:r>
        <w:rPr>
          <w:rFonts w:hint="eastAsia" w:ascii="宋体" w:hAnsi="宋体"/>
          <w:sz w:val="24"/>
          <w:lang w:eastAsia="zh-CN"/>
        </w:rPr>
        <w:t>2025年3月6日</w:t>
      </w:r>
      <w:r>
        <w:rPr>
          <w:rFonts w:hint="eastAsia" w:ascii="宋体" w:hAnsi="宋体"/>
          <w:sz w:val="24"/>
        </w:rPr>
        <w:t>上午9:15</w:t>
      </w:r>
      <w:r>
        <w:rPr>
          <w:rFonts w:hint="eastAsia" w:ascii="宋体" w:hAnsi="宋体" w:cs="宋体"/>
          <w:kern w:val="0"/>
          <w:sz w:val="24"/>
        </w:rPr>
        <w:t>至</w:t>
      </w:r>
      <w:r>
        <w:rPr>
          <w:rFonts w:hint="eastAsia" w:ascii="宋体" w:hAnsi="宋体"/>
          <w:sz w:val="24"/>
        </w:rPr>
        <w:t>下午15:00期间的任意时间</w:t>
      </w:r>
      <w:r>
        <w:rPr>
          <w:rFonts w:hint="eastAsia" w:ascii="宋体" w:hAnsi="宋体" w:cs="宋体"/>
          <w:kern w:val="0"/>
          <w:sz w:val="24"/>
        </w:rPr>
        <w:t>。</w:t>
      </w:r>
    </w:p>
    <w:p w14:paraId="337B7264">
      <w:pPr>
        <w:spacing w:line="360" w:lineRule="auto"/>
        <w:ind w:firstLine="480" w:firstLineChars="200"/>
        <w:rPr>
          <w:rFonts w:ascii="宋体" w:hAnsi="宋体"/>
          <w:sz w:val="24"/>
        </w:rPr>
      </w:pPr>
      <w:r>
        <w:rPr>
          <w:rFonts w:hint="eastAsia" w:ascii="宋体" w:hAnsi="宋体"/>
          <w:sz w:val="24"/>
        </w:rPr>
        <w:t>5、会议的召开方式：本次股东大会采用现场表决与网络投票结合的方式。</w:t>
      </w:r>
    </w:p>
    <w:p w14:paraId="3E9E0947">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公司将通过深圳证券交易所交易系统与互联网投票系统向公司的股东提供网络形式的投票平台，股东可在网络投票时间内通过上述系统行使表决权，同一表决权只能选择现场投票与网络投票中的一种。其中网络投票包含证券交易系统与互联网系统两种投票方式，同一股份只能选择其中一种方式。重复投票的表决结果以第一次有效投票表决为准。</w:t>
      </w:r>
    </w:p>
    <w:p w14:paraId="75FCE85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6、会议的股权登记</w:t>
      </w:r>
      <w:r>
        <w:rPr>
          <w:rFonts w:hint="eastAsia" w:ascii="宋体" w:hAnsi="宋体" w:cs="宋体"/>
          <w:kern w:val="0"/>
          <w:sz w:val="24"/>
          <w:highlight w:val="none"/>
        </w:rPr>
        <w:t>日：</w:t>
      </w:r>
      <w:r>
        <w:rPr>
          <w:rFonts w:hint="eastAsia" w:ascii="宋体" w:hAnsi="宋体" w:cs="宋体"/>
          <w:kern w:val="0"/>
          <w:sz w:val="24"/>
          <w:highlight w:val="none"/>
          <w:lang w:eastAsia="zh-CN"/>
        </w:rPr>
        <w:t>2025年2月28日</w:t>
      </w:r>
      <w:r>
        <w:rPr>
          <w:rFonts w:hint="eastAsia" w:ascii="宋体" w:hAnsi="宋体" w:cs="宋体"/>
          <w:kern w:val="0"/>
          <w:sz w:val="24"/>
          <w:highlight w:val="none"/>
        </w:rPr>
        <w:t>。</w:t>
      </w:r>
    </w:p>
    <w:p w14:paraId="6267F97E">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7、出席对象：</w:t>
      </w:r>
    </w:p>
    <w:p w14:paraId="03765DB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（1）于</w:t>
      </w:r>
      <w:r>
        <w:rPr>
          <w:rFonts w:hint="eastAsia" w:ascii="宋体" w:hAnsi="宋体" w:cs="宋体"/>
          <w:kern w:val="0"/>
          <w:sz w:val="24"/>
          <w:lang w:eastAsia="zh-CN"/>
        </w:rPr>
        <w:t>2025年2月28日</w:t>
      </w:r>
      <w:r>
        <w:rPr>
          <w:rFonts w:hint="eastAsia" w:ascii="宋体" w:hAnsi="宋体" w:cs="宋体"/>
          <w:kern w:val="0"/>
          <w:sz w:val="24"/>
        </w:rPr>
        <w:t>（股权登记日）下午收市时，在中国结算深圳分公司登记在册的公司全体股东。上述本公司全体股东均有权出席股东大会，并可以以书面形式委托代理人出席会议并参加表决，该股东代理人不必是本公司的股东（授权委托书模板详见附件2）。</w:t>
      </w:r>
    </w:p>
    <w:p w14:paraId="23639E57">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（2）公司董事、监事与高级管理人员。</w:t>
      </w:r>
    </w:p>
    <w:p w14:paraId="5B1E79C3">
      <w:pPr>
        <w:spacing w:line="360" w:lineRule="auto"/>
        <w:ind w:firstLine="480" w:firstLineChars="200"/>
        <w:rPr>
          <w:rFonts w:ascii="宋体" w:hAnsi="宋体" w:cs="宋体"/>
          <w:kern w:val="0"/>
          <w:sz w:val="24"/>
        </w:rPr>
      </w:pPr>
      <w:r>
        <w:rPr>
          <w:rFonts w:hint="eastAsia" w:ascii="宋体" w:hAnsi="宋体" w:cs="宋体"/>
          <w:kern w:val="0"/>
          <w:sz w:val="24"/>
        </w:rPr>
        <w:t>（3）公司聘请的律师。</w:t>
      </w:r>
    </w:p>
    <w:p w14:paraId="4418F2D1">
      <w:pPr>
        <w:spacing w:line="360" w:lineRule="auto"/>
        <w:ind w:firstLine="480" w:firstLineChars="200"/>
        <w:rPr>
          <w:rFonts w:ascii="宋体" w:hAnsi="宋体"/>
          <w:sz w:val="24"/>
        </w:rPr>
      </w:pPr>
      <w:r>
        <w:rPr>
          <w:rFonts w:hint="eastAsia" w:ascii="宋体" w:hAnsi="宋体"/>
          <w:sz w:val="24"/>
        </w:rPr>
        <w:t>8、现场会议地点：公司南京管理总部会议室（南京市仙林大道徐庄软件园紫气路1号）。</w:t>
      </w:r>
    </w:p>
    <w:p w14:paraId="6EBD6BBF">
      <w:pPr>
        <w:spacing w:line="360" w:lineRule="auto"/>
        <w:ind w:firstLine="482" w:firstLineChars="200"/>
        <w:rPr>
          <w:rFonts w:ascii="宋体" w:hAnsi="宋体"/>
          <w:b/>
          <w:kern w:val="0"/>
          <w:sz w:val="24"/>
        </w:rPr>
      </w:pPr>
      <w:r>
        <w:rPr>
          <w:rFonts w:hint="eastAsia" w:ascii="宋体" w:hAnsi="宋体"/>
          <w:b/>
          <w:kern w:val="0"/>
          <w:sz w:val="24"/>
        </w:rPr>
        <w:t>二、会议审议事项</w:t>
      </w:r>
    </w:p>
    <w:p w14:paraId="7BF50A27">
      <w:pPr>
        <w:spacing w:line="360" w:lineRule="auto"/>
        <w:jc w:val="center"/>
        <w:rPr>
          <w:rFonts w:ascii="宋体" w:hAnsi="宋体"/>
          <w:b/>
          <w:kern w:val="0"/>
          <w:sz w:val="24"/>
        </w:rPr>
      </w:pPr>
      <w:r>
        <w:rPr>
          <w:rFonts w:hint="eastAsia" w:ascii="宋体" w:hAnsi="宋体"/>
          <w:b/>
          <w:kern w:val="0"/>
          <w:sz w:val="24"/>
        </w:rPr>
        <w:t>表一 本次股东大会提案编码示列表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5296"/>
        <w:gridCol w:w="1599"/>
      </w:tblGrid>
      <w:tr w14:paraId="25A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restart"/>
            <w:shd w:val="clear" w:color="auto" w:fill="E0E0E0"/>
            <w:vAlign w:val="center"/>
          </w:tcPr>
          <w:p w14:paraId="6357331F">
            <w:pPr>
              <w:jc w:val="center"/>
              <w:rPr>
                <w:rFonts w:ascii="宋体" w:hAnsi="宋体" w:cs="宋体"/>
                <w:b/>
                <w:szCs w:val="21"/>
              </w:rPr>
            </w:pPr>
            <w:r>
              <w:rPr>
                <w:rFonts w:hint="eastAsia" w:ascii="宋体" w:hAnsi="宋体" w:cs="宋体"/>
                <w:b/>
                <w:szCs w:val="21"/>
              </w:rPr>
              <w:t>提案编码</w:t>
            </w:r>
          </w:p>
        </w:tc>
        <w:tc>
          <w:tcPr>
            <w:tcW w:w="5296" w:type="dxa"/>
            <w:vMerge w:val="restart"/>
            <w:shd w:val="clear" w:color="auto" w:fill="E0E0E0"/>
            <w:vAlign w:val="center"/>
          </w:tcPr>
          <w:p w14:paraId="008D720D">
            <w:pPr>
              <w:jc w:val="center"/>
              <w:rPr>
                <w:rFonts w:ascii="宋体" w:hAnsi="宋体" w:cs="宋体"/>
                <w:b/>
                <w:szCs w:val="21"/>
              </w:rPr>
            </w:pPr>
            <w:r>
              <w:rPr>
                <w:rFonts w:hint="eastAsia" w:ascii="宋体" w:hAnsi="宋体" w:cs="宋体"/>
                <w:b/>
                <w:szCs w:val="21"/>
              </w:rPr>
              <w:t>提案名称</w:t>
            </w:r>
          </w:p>
        </w:tc>
        <w:tc>
          <w:tcPr>
            <w:tcW w:w="1599" w:type="dxa"/>
            <w:shd w:val="clear" w:color="auto" w:fill="E0E0E0"/>
            <w:vAlign w:val="center"/>
          </w:tcPr>
          <w:p w14:paraId="3CDEA518">
            <w:pPr>
              <w:jc w:val="center"/>
              <w:rPr>
                <w:rFonts w:ascii="宋体" w:hAnsi="宋体" w:cs="宋体"/>
                <w:b/>
                <w:szCs w:val="21"/>
              </w:rPr>
            </w:pPr>
            <w:r>
              <w:rPr>
                <w:rFonts w:hint="eastAsia" w:ascii="宋体" w:hAnsi="宋体" w:cs="宋体"/>
                <w:szCs w:val="21"/>
              </w:rPr>
              <w:t>备注</w:t>
            </w:r>
          </w:p>
        </w:tc>
      </w:tr>
      <w:tr w14:paraId="6CA3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041875DE">
            <w:pPr>
              <w:jc w:val="center"/>
              <w:rPr>
                <w:rFonts w:ascii="宋体" w:hAnsi="宋体" w:cs="宋体"/>
                <w:szCs w:val="21"/>
              </w:rPr>
            </w:pPr>
          </w:p>
        </w:tc>
        <w:tc>
          <w:tcPr>
            <w:tcW w:w="5296" w:type="dxa"/>
            <w:vMerge w:val="continue"/>
            <w:vAlign w:val="center"/>
          </w:tcPr>
          <w:p w14:paraId="018D5D34">
            <w:pPr>
              <w:jc w:val="center"/>
              <w:rPr>
                <w:rFonts w:ascii="宋体" w:hAnsi="宋体" w:cs="宋体"/>
                <w:szCs w:val="21"/>
              </w:rPr>
            </w:pPr>
          </w:p>
        </w:tc>
        <w:tc>
          <w:tcPr>
            <w:tcW w:w="1599" w:type="dxa"/>
            <w:vAlign w:val="center"/>
          </w:tcPr>
          <w:p w14:paraId="1F5D8CAC">
            <w:pPr>
              <w:jc w:val="center"/>
              <w:rPr>
                <w:rFonts w:ascii="宋体" w:hAnsi="宋体" w:cs="宋体"/>
                <w:szCs w:val="21"/>
              </w:rPr>
            </w:pPr>
            <w:r>
              <w:rPr>
                <w:rFonts w:hint="eastAsia" w:ascii="宋体" w:hAnsi="宋体" w:cs="宋体"/>
                <w:szCs w:val="21"/>
              </w:rPr>
              <w:t>该列打勾的</w:t>
            </w:r>
          </w:p>
          <w:p w14:paraId="6E12BC40">
            <w:pPr>
              <w:jc w:val="center"/>
              <w:rPr>
                <w:rFonts w:ascii="宋体" w:hAnsi="宋体" w:cs="宋体"/>
                <w:b/>
                <w:szCs w:val="21"/>
              </w:rPr>
            </w:pPr>
            <w:r>
              <w:rPr>
                <w:rFonts w:hint="eastAsia" w:ascii="宋体" w:hAnsi="宋体" w:cs="宋体"/>
                <w:szCs w:val="21"/>
              </w:rPr>
              <w:t>栏目可以投票</w:t>
            </w:r>
          </w:p>
        </w:tc>
      </w:tr>
      <w:tr w14:paraId="2316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0D72E9CF">
            <w:pPr>
              <w:jc w:val="center"/>
              <w:rPr>
                <w:rFonts w:ascii="宋体" w:hAnsi="宋体" w:cs="宋体"/>
                <w:szCs w:val="21"/>
              </w:rPr>
            </w:pPr>
            <w:r>
              <w:rPr>
                <w:rFonts w:hint="eastAsia" w:ascii="宋体" w:hAnsi="宋体" w:cs="宋体"/>
                <w:szCs w:val="21"/>
              </w:rPr>
              <w:t>100</w:t>
            </w:r>
          </w:p>
        </w:tc>
        <w:tc>
          <w:tcPr>
            <w:tcW w:w="5296" w:type="dxa"/>
          </w:tcPr>
          <w:p w14:paraId="0F87F1AD">
            <w:pPr>
              <w:rPr>
                <w:rFonts w:ascii="宋体" w:hAnsi="宋体" w:cs="宋体"/>
                <w:szCs w:val="21"/>
              </w:rPr>
            </w:pPr>
            <w:r>
              <w:rPr>
                <w:rFonts w:hint="eastAsia" w:ascii="宋体" w:hAnsi="宋体" w:cs="宋体"/>
                <w:b/>
                <w:szCs w:val="21"/>
              </w:rPr>
              <w:t>总议案：除累积投票提案外的所有提案</w:t>
            </w:r>
          </w:p>
        </w:tc>
        <w:tc>
          <w:tcPr>
            <w:tcW w:w="1599" w:type="dxa"/>
            <w:vAlign w:val="center"/>
          </w:tcPr>
          <w:p w14:paraId="6EE3A585">
            <w:pPr>
              <w:jc w:val="center"/>
              <w:rPr>
                <w:rFonts w:ascii="宋体" w:hAnsi="宋体" w:cs="宋体"/>
                <w:szCs w:val="21"/>
              </w:rPr>
            </w:pPr>
            <w:r>
              <w:rPr>
                <w:rFonts w:hint="eastAsia" w:ascii="宋体" w:hAnsi="宋体" w:cs="宋体"/>
                <w:szCs w:val="21"/>
              </w:rPr>
              <w:t>√</w:t>
            </w:r>
          </w:p>
        </w:tc>
      </w:tr>
      <w:tr w14:paraId="7F17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6DCE6B38">
            <w:pPr>
              <w:jc w:val="center"/>
              <w:rPr>
                <w:rFonts w:ascii="宋体" w:hAnsi="宋体" w:cs="宋体"/>
                <w:szCs w:val="21"/>
              </w:rPr>
            </w:pPr>
            <w:r>
              <w:rPr>
                <w:rFonts w:hint="eastAsia" w:ascii="宋体" w:hAnsi="宋体" w:cs="宋体"/>
                <w:szCs w:val="21"/>
              </w:rPr>
              <w:t>非累积投票提案</w:t>
            </w:r>
          </w:p>
        </w:tc>
        <w:tc>
          <w:tcPr>
            <w:tcW w:w="6895" w:type="dxa"/>
            <w:gridSpan w:val="2"/>
            <w:vAlign w:val="center"/>
          </w:tcPr>
          <w:p w14:paraId="58B9DE31">
            <w:pPr>
              <w:jc w:val="center"/>
              <w:rPr>
                <w:rFonts w:ascii="宋体" w:hAnsi="宋体" w:cs="宋体"/>
                <w:b/>
                <w:szCs w:val="21"/>
              </w:rPr>
            </w:pPr>
          </w:p>
        </w:tc>
      </w:tr>
      <w:tr w14:paraId="58E4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0665988A">
            <w:pPr>
              <w:jc w:val="center"/>
              <w:rPr>
                <w:rFonts w:ascii="宋体" w:hAnsi="宋体" w:cs="宋体"/>
                <w:szCs w:val="21"/>
              </w:rPr>
            </w:pPr>
            <w:r>
              <w:rPr>
                <w:rFonts w:hint="eastAsia" w:ascii="宋体" w:hAnsi="宋体" w:cs="宋体"/>
                <w:szCs w:val="21"/>
              </w:rPr>
              <w:t>1.00</w:t>
            </w:r>
          </w:p>
        </w:tc>
        <w:tc>
          <w:tcPr>
            <w:tcW w:w="5296" w:type="dxa"/>
          </w:tcPr>
          <w:p w14:paraId="7D276FC0">
            <w:pPr>
              <w:rPr>
                <w:rFonts w:ascii="宋体" w:hAnsi="宋体" w:cs="宋体"/>
                <w:bCs/>
                <w:szCs w:val="21"/>
              </w:rPr>
            </w:pPr>
            <w:r>
              <w:rPr>
                <w:rFonts w:hint="eastAsia" w:ascii="宋体" w:hAnsi="宋体" w:cs="宋体"/>
                <w:bCs/>
                <w:szCs w:val="21"/>
              </w:rPr>
              <w:t>《关于2025年度申请综合授信额度及为子公司提供担保额度的议案》</w:t>
            </w:r>
          </w:p>
        </w:tc>
        <w:tc>
          <w:tcPr>
            <w:tcW w:w="1599" w:type="dxa"/>
            <w:vAlign w:val="center"/>
          </w:tcPr>
          <w:p w14:paraId="7853F8A0">
            <w:pPr>
              <w:jc w:val="center"/>
              <w:rPr>
                <w:rFonts w:ascii="宋体" w:hAnsi="宋体" w:cs="宋体"/>
                <w:szCs w:val="21"/>
              </w:rPr>
            </w:pPr>
            <w:r>
              <w:rPr>
                <w:rFonts w:hint="eastAsia" w:ascii="宋体" w:hAnsi="宋体" w:cs="宋体"/>
                <w:szCs w:val="21"/>
              </w:rPr>
              <w:t>√</w:t>
            </w:r>
          </w:p>
        </w:tc>
      </w:tr>
    </w:tbl>
    <w:p w14:paraId="60F2CF24">
      <w:pPr>
        <w:spacing w:line="360" w:lineRule="auto"/>
        <w:ind w:firstLine="480" w:firstLineChars="200"/>
        <w:rPr>
          <w:rFonts w:ascii="宋体" w:hAnsi="宋体"/>
          <w:sz w:val="24"/>
        </w:rPr>
      </w:pPr>
      <w:r>
        <w:rPr>
          <w:rFonts w:hint="eastAsia" w:ascii="宋体" w:hAnsi="宋体"/>
          <w:sz w:val="24"/>
        </w:rPr>
        <w:t>上述</w:t>
      </w:r>
      <w:r>
        <w:rPr>
          <w:rFonts w:hint="eastAsia" w:ascii="宋体" w:hAnsi="宋体"/>
          <w:sz w:val="24"/>
          <w:lang w:val="en-US" w:eastAsia="zh-CN"/>
        </w:rPr>
        <w:t>提案</w:t>
      </w:r>
      <w:r>
        <w:rPr>
          <w:rFonts w:hint="eastAsia" w:ascii="宋体" w:hAnsi="宋体"/>
          <w:sz w:val="24"/>
        </w:rPr>
        <w:t>已经公司</w:t>
      </w:r>
      <w:r>
        <w:rPr>
          <w:rFonts w:hint="eastAsia" w:ascii="宋体" w:hAnsi="宋体"/>
          <w:sz w:val="24"/>
          <w:lang w:eastAsia="zh-CN"/>
        </w:rPr>
        <w:t>第六届董事会第五十二次会议</w:t>
      </w:r>
      <w:r>
        <w:rPr>
          <w:rFonts w:hint="eastAsia" w:ascii="宋体" w:hAnsi="宋体"/>
          <w:sz w:val="24"/>
        </w:rPr>
        <w:t>审议通过，议案内容详见</w:t>
      </w:r>
      <w:r>
        <w:rPr>
          <w:rFonts w:hint="eastAsia" w:ascii="宋体" w:hAnsi="宋体"/>
          <w:sz w:val="24"/>
          <w:lang w:val="en-US" w:eastAsia="zh-CN"/>
        </w:rPr>
        <w:t>同日披露于</w:t>
      </w:r>
      <w:r>
        <w:rPr>
          <w:rFonts w:hint="eastAsia" w:ascii="宋体" w:hAnsi="宋体"/>
          <w:sz w:val="24"/>
        </w:rPr>
        <w:t>《证券时报》与巨潮资讯网</w:t>
      </w:r>
      <w:r>
        <w:fldChar w:fldCharType="begin"/>
      </w:r>
      <w:r>
        <w:instrText xml:space="preserve"> HYPERLINK "http://www.cninfo.com.cn/" </w:instrText>
      </w:r>
      <w:r>
        <w:fldChar w:fldCharType="separate"/>
      </w:r>
      <w:r>
        <w:rPr>
          <w:rFonts w:hint="eastAsia" w:ascii="宋体" w:hAnsi="宋体"/>
          <w:sz w:val="24"/>
        </w:rPr>
        <w:t>www.cninfo.com.cn</w:t>
      </w:r>
      <w:r>
        <w:rPr>
          <w:rFonts w:hint="eastAsia" w:ascii="宋体" w:hAnsi="宋体"/>
          <w:sz w:val="24"/>
        </w:rPr>
        <w:fldChar w:fldCharType="end"/>
      </w:r>
      <w:r>
        <w:rPr>
          <w:rFonts w:hint="eastAsia" w:ascii="宋体" w:hAnsi="宋体"/>
          <w:sz w:val="24"/>
          <w:lang w:val="en-US" w:eastAsia="zh-CN"/>
        </w:rPr>
        <w:t>的相关公告</w:t>
      </w:r>
      <w:r>
        <w:rPr>
          <w:rFonts w:hint="eastAsia" w:ascii="宋体" w:hAnsi="宋体"/>
          <w:sz w:val="24"/>
        </w:rPr>
        <w:t>。</w:t>
      </w:r>
    </w:p>
    <w:p w14:paraId="62ADF8A2">
      <w:pPr>
        <w:spacing w:line="360" w:lineRule="auto"/>
        <w:ind w:firstLine="480" w:firstLineChars="200"/>
        <w:rPr>
          <w:rFonts w:ascii="宋体" w:hAnsi="宋体"/>
          <w:sz w:val="24"/>
        </w:rPr>
      </w:pPr>
      <w:r>
        <w:rPr>
          <w:rFonts w:hint="eastAsia" w:ascii="宋体" w:hAnsi="宋体"/>
          <w:sz w:val="24"/>
        </w:rPr>
        <w:t>本次股东大会对中小投资者的表决将单独计票，并及时公开披露。中小投资者指除公司董事、监事、高级管理人员、单独或合计持有公司5%以上股份股东以外的股东。</w:t>
      </w:r>
    </w:p>
    <w:p w14:paraId="0F1F7C20">
      <w:pPr>
        <w:spacing w:line="360" w:lineRule="auto"/>
        <w:ind w:firstLine="472" w:firstLineChars="196"/>
        <w:rPr>
          <w:rFonts w:ascii="宋体" w:hAnsi="宋体"/>
          <w:b/>
          <w:sz w:val="24"/>
        </w:rPr>
      </w:pPr>
      <w:r>
        <w:rPr>
          <w:rFonts w:hint="eastAsia" w:ascii="宋体" w:hAnsi="宋体"/>
          <w:b/>
          <w:sz w:val="24"/>
        </w:rPr>
        <w:t>三、会议登记等事项</w:t>
      </w:r>
    </w:p>
    <w:p w14:paraId="6558B8CB">
      <w:pPr>
        <w:spacing w:line="360" w:lineRule="auto"/>
        <w:ind w:firstLine="480" w:firstLineChars="200"/>
        <w:rPr>
          <w:rFonts w:ascii="宋体" w:hAnsi="宋体"/>
          <w:sz w:val="24"/>
        </w:rPr>
      </w:pPr>
      <w:r>
        <w:rPr>
          <w:rFonts w:hint="eastAsia" w:ascii="宋体" w:hAnsi="宋体"/>
          <w:sz w:val="24"/>
        </w:rPr>
        <w:t>1、登记方式及委托他人出席要求：</w:t>
      </w:r>
    </w:p>
    <w:p w14:paraId="5647FA0B">
      <w:pPr>
        <w:spacing w:line="360" w:lineRule="auto"/>
        <w:ind w:firstLine="480" w:firstLineChars="200"/>
        <w:rPr>
          <w:rFonts w:ascii="宋体" w:hAnsi="宋体"/>
          <w:sz w:val="24"/>
        </w:rPr>
      </w:pPr>
      <w:r>
        <w:rPr>
          <w:rFonts w:hint="eastAsia" w:ascii="宋体" w:hAnsi="宋体"/>
          <w:sz w:val="24"/>
        </w:rPr>
        <w:t>（1）法人股东凭借单位证明、法定代表人授权委托书、股权证明及委托人身份证办理登记手续；</w:t>
      </w:r>
    </w:p>
    <w:p w14:paraId="40A793C2">
      <w:pPr>
        <w:spacing w:line="360" w:lineRule="auto"/>
        <w:ind w:firstLine="480" w:firstLineChars="200"/>
        <w:rPr>
          <w:rFonts w:ascii="宋体" w:hAnsi="宋体"/>
          <w:sz w:val="24"/>
        </w:rPr>
      </w:pPr>
      <w:r>
        <w:rPr>
          <w:rFonts w:hint="eastAsia" w:ascii="宋体" w:hAnsi="宋体"/>
          <w:sz w:val="24"/>
        </w:rPr>
        <w:t>（2）自然人股东须持本人身份证与证券账户卡；授权委托代理人持身份证、授权委托书及委托人证券账户卡办理登记手续。异地股东可采用信函或传真方式登记。</w:t>
      </w:r>
    </w:p>
    <w:p w14:paraId="0DDE82A0">
      <w:pPr>
        <w:spacing w:line="360" w:lineRule="auto"/>
        <w:ind w:firstLine="480" w:firstLineChars="200"/>
        <w:rPr>
          <w:rFonts w:ascii="宋体" w:hAnsi="宋体"/>
          <w:sz w:val="24"/>
        </w:rPr>
      </w:pPr>
      <w:r>
        <w:rPr>
          <w:rFonts w:hint="eastAsia" w:ascii="宋体" w:hAnsi="宋体"/>
          <w:sz w:val="24"/>
        </w:rPr>
        <w:t>2、登记地点及授权委托书送达地点：南京市仙林大道徐庄软件园紫气路1号，邮编：210042；</w:t>
      </w:r>
    </w:p>
    <w:p w14:paraId="2CAC1313">
      <w:pPr>
        <w:spacing w:line="360" w:lineRule="auto"/>
        <w:ind w:firstLine="480" w:firstLineChars="200"/>
        <w:rPr>
          <w:rFonts w:ascii="宋体" w:hAnsi="宋体"/>
          <w:sz w:val="24"/>
        </w:rPr>
      </w:pPr>
      <w:r>
        <w:rPr>
          <w:rFonts w:hint="eastAsia" w:ascii="宋体" w:hAnsi="宋体"/>
          <w:sz w:val="24"/>
        </w:rPr>
        <w:t>信函登记名称：</w:t>
      </w:r>
      <w:r>
        <w:rPr>
          <w:rFonts w:hint="eastAsia" w:ascii="宋体" w:hAnsi="宋体" w:cs="宋体"/>
          <w:kern w:val="0"/>
          <w:sz w:val="24"/>
          <w:lang w:val="zh-CN"/>
        </w:rPr>
        <w:t>东华能源</w:t>
      </w:r>
      <w:r>
        <w:rPr>
          <w:rFonts w:hint="eastAsia" w:ascii="宋体" w:hAnsi="宋体" w:cs="宋体"/>
          <w:kern w:val="0"/>
          <w:sz w:val="24"/>
        </w:rPr>
        <w:t>股份</w:t>
      </w:r>
      <w:r>
        <w:rPr>
          <w:rFonts w:hint="eastAsia" w:ascii="宋体" w:hAnsi="宋体" w:cs="宋体"/>
          <w:kern w:val="0"/>
          <w:sz w:val="24"/>
          <w:lang w:val="zh-CN"/>
        </w:rPr>
        <w:t>有限</w:t>
      </w:r>
      <w:r>
        <w:rPr>
          <w:rFonts w:hint="eastAsia" w:ascii="宋体" w:hAnsi="宋体"/>
          <w:sz w:val="24"/>
        </w:rPr>
        <w:t>公司董事会办公室，信函上请注明“股东大会”字样。</w:t>
      </w:r>
    </w:p>
    <w:p w14:paraId="73C57405">
      <w:pPr>
        <w:spacing w:line="360" w:lineRule="auto"/>
        <w:ind w:firstLine="480" w:firstLineChars="200"/>
        <w:rPr>
          <w:rFonts w:ascii="宋体" w:hAnsi="宋体"/>
          <w:sz w:val="24"/>
        </w:rPr>
      </w:pPr>
      <w:r>
        <w:rPr>
          <w:rFonts w:hint="eastAsia" w:ascii="宋体" w:hAnsi="宋体"/>
          <w:sz w:val="24"/>
        </w:rPr>
        <w:t>3、登</w:t>
      </w:r>
      <w:r>
        <w:rPr>
          <w:rFonts w:hint="eastAsia" w:ascii="宋体" w:hAnsi="宋体"/>
          <w:sz w:val="24"/>
          <w:highlight w:val="none"/>
        </w:rPr>
        <w:t>记时间：</w:t>
      </w:r>
      <w:r>
        <w:rPr>
          <w:rFonts w:hint="eastAsia" w:ascii="宋体" w:hAnsi="宋体"/>
          <w:sz w:val="24"/>
          <w:highlight w:val="none"/>
          <w:lang w:eastAsia="zh-CN"/>
        </w:rPr>
        <w:t>2025年</w:t>
      </w:r>
      <w:r>
        <w:rPr>
          <w:rFonts w:hint="eastAsia" w:ascii="宋体" w:hAnsi="宋体"/>
          <w:sz w:val="24"/>
          <w:highlight w:val="none"/>
          <w:lang w:val="en-US" w:eastAsia="zh-CN"/>
        </w:rPr>
        <w:t>3</w:t>
      </w:r>
      <w:r>
        <w:rPr>
          <w:rFonts w:hint="eastAsia" w:ascii="宋体" w:hAnsi="宋体"/>
          <w:sz w:val="24"/>
          <w:highlight w:val="none"/>
          <w:lang w:eastAsia="zh-CN"/>
        </w:rPr>
        <w:t>月</w:t>
      </w:r>
      <w:r>
        <w:rPr>
          <w:rFonts w:hint="eastAsia" w:ascii="宋体" w:hAnsi="宋体"/>
          <w:sz w:val="24"/>
          <w:highlight w:val="none"/>
          <w:lang w:val="en-US" w:eastAsia="zh-CN"/>
        </w:rPr>
        <w:t>4</w:t>
      </w:r>
      <w:r>
        <w:rPr>
          <w:rFonts w:hint="eastAsia" w:ascii="宋体" w:hAnsi="宋体"/>
          <w:sz w:val="24"/>
          <w:highlight w:val="none"/>
          <w:lang w:eastAsia="zh-CN"/>
        </w:rPr>
        <w:t>日</w:t>
      </w:r>
      <w:r>
        <w:rPr>
          <w:rFonts w:hint="eastAsia" w:ascii="宋体" w:hAnsi="宋体"/>
          <w:sz w:val="24"/>
          <w:highlight w:val="none"/>
        </w:rPr>
        <w:t>9:00-16:30。</w:t>
      </w:r>
    </w:p>
    <w:p w14:paraId="6DD52EE2">
      <w:pPr>
        <w:spacing w:line="360" w:lineRule="auto"/>
        <w:ind w:firstLine="480" w:firstLineChars="200"/>
        <w:rPr>
          <w:rFonts w:ascii="宋体" w:hAnsi="宋体"/>
          <w:sz w:val="24"/>
        </w:rPr>
      </w:pPr>
      <w:r>
        <w:rPr>
          <w:rFonts w:hint="eastAsia" w:ascii="宋体" w:hAnsi="宋体"/>
          <w:sz w:val="24"/>
        </w:rPr>
        <w:t>4、会务联系人：董事会办公室，庞亚丰；</w:t>
      </w:r>
    </w:p>
    <w:p w14:paraId="1D95B3F6">
      <w:pPr>
        <w:spacing w:line="360" w:lineRule="auto"/>
        <w:ind w:firstLine="480" w:firstLineChars="200"/>
        <w:rPr>
          <w:rFonts w:ascii="宋体" w:hAnsi="宋体"/>
          <w:sz w:val="24"/>
        </w:rPr>
      </w:pPr>
      <w:r>
        <w:rPr>
          <w:rFonts w:hint="eastAsia" w:ascii="宋体" w:hAnsi="宋体"/>
          <w:sz w:val="24"/>
        </w:rPr>
        <w:t>电话号码：025-86819806，传真号码：025-86771021，电子邮箱：pangyafeng@chinadhe.com；</w:t>
      </w:r>
    </w:p>
    <w:p w14:paraId="41C347F7">
      <w:pPr>
        <w:spacing w:line="360" w:lineRule="auto"/>
        <w:ind w:firstLine="480" w:firstLineChars="200"/>
        <w:rPr>
          <w:rFonts w:ascii="宋体" w:hAnsi="宋体"/>
          <w:sz w:val="24"/>
        </w:rPr>
      </w:pPr>
      <w:r>
        <w:rPr>
          <w:rFonts w:hint="eastAsia" w:ascii="宋体" w:hAnsi="宋体"/>
          <w:sz w:val="24"/>
        </w:rPr>
        <w:t>通讯地址：南京市仙林大道徐庄软件园紫气路1号，邮编：210042。</w:t>
      </w:r>
    </w:p>
    <w:p w14:paraId="6ED6E6F1">
      <w:pPr>
        <w:spacing w:line="360" w:lineRule="auto"/>
        <w:ind w:firstLine="480" w:firstLineChars="200"/>
        <w:rPr>
          <w:rFonts w:ascii="宋体" w:hAnsi="宋体"/>
          <w:sz w:val="24"/>
        </w:rPr>
      </w:pPr>
      <w:r>
        <w:rPr>
          <w:rFonts w:hint="eastAsia" w:ascii="宋体" w:hAnsi="宋体"/>
          <w:sz w:val="24"/>
        </w:rPr>
        <w:t>5、参加现场会议股东的食宿及交通费用自理。</w:t>
      </w:r>
    </w:p>
    <w:p w14:paraId="1936D122">
      <w:pPr>
        <w:spacing w:line="360" w:lineRule="auto"/>
        <w:ind w:firstLine="480" w:firstLineChars="200"/>
        <w:rPr>
          <w:rFonts w:ascii="宋体" w:hAnsi="宋体"/>
          <w:sz w:val="24"/>
        </w:rPr>
      </w:pPr>
      <w:r>
        <w:rPr>
          <w:rFonts w:hint="eastAsia" w:ascii="宋体" w:hAnsi="宋体"/>
          <w:sz w:val="24"/>
        </w:rPr>
        <w:t>6、</w:t>
      </w:r>
      <w:r>
        <w:rPr>
          <w:rFonts w:hint="eastAsia" w:ascii="宋体" w:hAnsi="宋体" w:cs="宋体"/>
          <w:kern w:val="0"/>
          <w:sz w:val="24"/>
        </w:rPr>
        <w:t>网络投票系统异常情况的处理方式：网络投票期间，如网络投票系统遇突发重大事件的影响，则本次股东大会的进程按当日通知进行。</w:t>
      </w:r>
    </w:p>
    <w:p w14:paraId="423382AF">
      <w:pPr>
        <w:spacing w:line="360" w:lineRule="auto"/>
        <w:ind w:firstLine="472" w:firstLineChars="196"/>
        <w:rPr>
          <w:rFonts w:ascii="宋体" w:hAnsi="宋体"/>
          <w:b/>
          <w:sz w:val="24"/>
        </w:rPr>
      </w:pPr>
      <w:r>
        <w:rPr>
          <w:rFonts w:hint="eastAsia" w:ascii="宋体" w:hAnsi="宋体"/>
          <w:b/>
          <w:sz w:val="24"/>
        </w:rPr>
        <w:t>四、参加网络投票的具体操作流程</w:t>
      </w:r>
    </w:p>
    <w:p w14:paraId="4357B11B">
      <w:pPr>
        <w:spacing w:line="360" w:lineRule="auto"/>
        <w:ind w:firstLine="480" w:firstLineChars="200"/>
        <w:rPr>
          <w:rFonts w:ascii="宋体" w:hAnsi="宋体"/>
          <w:sz w:val="24"/>
        </w:rPr>
      </w:pPr>
      <w:r>
        <w:rPr>
          <w:rFonts w:hint="eastAsia" w:ascii="宋体" w:hAnsi="宋体"/>
          <w:sz w:val="24"/>
        </w:rPr>
        <w:t>在本次股东大会上，股东可以通过深交所交易系统与互联网投票系统（地址为http://wltp.cninfo.com.cn）参加投票，网络投票的具体操作流程见附件一。</w:t>
      </w:r>
    </w:p>
    <w:p w14:paraId="78A1E295">
      <w:pPr>
        <w:autoSpaceDE w:val="0"/>
        <w:autoSpaceDN w:val="0"/>
        <w:adjustRightInd w:val="0"/>
        <w:spacing w:line="360" w:lineRule="auto"/>
        <w:ind w:right="360" w:firstLine="482" w:firstLineChars="200"/>
        <w:rPr>
          <w:rFonts w:ascii="宋体" w:hAnsi="宋体"/>
          <w:b/>
          <w:sz w:val="24"/>
        </w:rPr>
      </w:pPr>
      <w:r>
        <w:rPr>
          <w:rFonts w:hint="eastAsia" w:ascii="宋体" w:hAnsi="宋体"/>
          <w:b/>
          <w:sz w:val="24"/>
        </w:rPr>
        <w:t>五、备查文件</w:t>
      </w:r>
    </w:p>
    <w:p w14:paraId="6405691B">
      <w:pPr>
        <w:spacing w:line="360" w:lineRule="auto"/>
        <w:ind w:firstLine="480" w:firstLineChars="200"/>
        <w:rPr>
          <w:rFonts w:hint="eastAsia" w:ascii="宋体" w:hAnsi="宋体" w:eastAsia="宋体"/>
          <w:sz w:val="24"/>
          <w:lang w:eastAsia="zh-CN"/>
        </w:rPr>
      </w:pPr>
      <w:r>
        <w:rPr>
          <w:rFonts w:ascii="宋体" w:hAnsi="宋体"/>
          <w:sz w:val="24"/>
        </w:rPr>
        <w:t>公司</w:t>
      </w:r>
      <w:r>
        <w:rPr>
          <w:rFonts w:hint="eastAsia" w:ascii="宋体" w:hAnsi="宋体"/>
          <w:sz w:val="24"/>
          <w:lang w:eastAsia="zh-CN"/>
        </w:rPr>
        <w:t>第六届董事会第五十二次会议</w:t>
      </w:r>
      <w:r>
        <w:rPr>
          <w:rFonts w:hint="eastAsia" w:ascii="宋体" w:hAnsi="宋体"/>
          <w:sz w:val="24"/>
        </w:rPr>
        <w:t>决议</w:t>
      </w:r>
      <w:r>
        <w:rPr>
          <w:rFonts w:hint="eastAsia" w:ascii="宋体" w:hAnsi="宋体"/>
          <w:sz w:val="24"/>
          <w:lang w:eastAsia="zh-CN"/>
        </w:rPr>
        <w:t>。</w:t>
      </w:r>
    </w:p>
    <w:p w14:paraId="5E052D9D">
      <w:pPr>
        <w:spacing w:line="360" w:lineRule="auto"/>
        <w:ind w:firstLine="480" w:firstLineChars="200"/>
        <w:rPr>
          <w:rFonts w:ascii="宋体" w:hAnsi="宋体"/>
          <w:sz w:val="24"/>
        </w:rPr>
      </w:pPr>
      <w:r>
        <w:rPr>
          <w:rFonts w:hint="eastAsia" w:ascii="宋体" w:hAnsi="宋体"/>
          <w:sz w:val="24"/>
        </w:rPr>
        <w:t>特此公告。</w:t>
      </w:r>
    </w:p>
    <w:p w14:paraId="208FF248">
      <w:pPr>
        <w:spacing w:line="360" w:lineRule="auto"/>
        <w:rPr>
          <w:rFonts w:ascii="宋体" w:hAnsi="宋体"/>
          <w:sz w:val="24"/>
        </w:rPr>
      </w:pPr>
    </w:p>
    <w:p w14:paraId="07A83EFE">
      <w:pPr>
        <w:spacing w:line="360" w:lineRule="auto"/>
        <w:jc w:val="right"/>
        <w:rPr>
          <w:rFonts w:ascii="宋体" w:hAnsi="宋体"/>
          <w:b/>
          <w:sz w:val="24"/>
        </w:rPr>
      </w:pPr>
      <w:r>
        <w:rPr>
          <w:rFonts w:hint="eastAsia" w:ascii="宋体" w:hAnsi="宋体"/>
          <w:b/>
          <w:sz w:val="24"/>
        </w:rPr>
        <w:t>东华能源股份有限公司</w:t>
      </w:r>
    </w:p>
    <w:p w14:paraId="1DC447B8">
      <w:pPr>
        <w:spacing w:line="360" w:lineRule="auto"/>
        <w:jc w:val="center"/>
        <w:rPr>
          <w:rFonts w:ascii="宋体" w:hAnsi="宋体"/>
          <w:b/>
          <w:sz w:val="24"/>
        </w:rPr>
      </w:pPr>
      <w:r>
        <w:rPr>
          <w:rFonts w:hint="eastAsia" w:ascii="宋体" w:hAnsi="宋体"/>
          <w:b/>
          <w:sz w:val="24"/>
        </w:rPr>
        <w:t xml:space="preserve">                                                  董事会</w:t>
      </w:r>
    </w:p>
    <w:p w14:paraId="1ACFE979">
      <w:pPr>
        <w:spacing w:line="360" w:lineRule="auto"/>
        <w:jc w:val="center"/>
        <w:rPr>
          <w:rFonts w:hint="eastAsia" w:ascii="宋体" w:hAnsi="宋体" w:eastAsia="宋体"/>
          <w:b/>
          <w:sz w:val="24"/>
          <w:highlight w:val="none"/>
          <w:lang w:eastAsia="zh-CN"/>
        </w:rPr>
      </w:pPr>
      <w:r>
        <w:rPr>
          <w:rFonts w:hint="eastAsia" w:ascii="宋体" w:hAnsi="宋体"/>
          <w:b/>
          <w:sz w:val="24"/>
        </w:rPr>
        <w:t xml:space="preserve">                                        </w:t>
      </w:r>
      <w:r>
        <w:rPr>
          <w:rFonts w:hint="eastAsia" w:ascii="宋体" w:hAnsi="宋体"/>
          <w:b/>
          <w:sz w:val="24"/>
          <w:highlight w:val="none"/>
        </w:rPr>
        <w:t xml:space="preserve">           </w:t>
      </w:r>
      <w:r>
        <w:rPr>
          <w:rFonts w:hint="eastAsia" w:ascii="宋体" w:hAnsi="宋体"/>
          <w:b/>
          <w:sz w:val="24"/>
          <w:highlight w:val="none"/>
          <w:lang w:eastAsia="zh-CN"/>
        </w:rPr>
        <w:t>2025年2月17日</w:t>
      </w:r>
    </w:p>
    <w:p w14:paraId="096C3A12">
      <w:pPr>
        <w:autoSpaceDE w:val="0"/>
        <w:autoSpaceDN w:val="0"/>
        <w:adjustRightInd w:val="0"/>
        <w:spacing w:line="360" w:lineRule="auto"/>
        <w:jc w:val="left"/>
        <w:rPr>
          <w:rFonts w:ascii="宋体" w:hAnsi="宋体"/>
          <w:b/>
          <w:sz w:val="24"/>
        </w:rPr>
      </w:pPr>
      <w:r>
        <w:br w:type="page"/>
      </w:r>
      <w:r>
        <w:rPr>
          <w:rFonts w:hint="eastAsia" w:ascii="宋体" w:hAnsi="宋体"/>
          <w:b/>
          <w:sz w:val="24"/>
        </w:rPr>
        <w:t>附件一：</w:t>
      </w:r>
    </w:p>
    <w:p w14:paraId="74BE8012">
      <w:pPr>
        <w:autoSpaceDE w:val="0"/>
        <w:autoSpaceDN w:val="0"/>
        <w:adjustRightInd w:val="0"/>
        <w:spacing w:line="360" w:lineRule="auto"/>
        <w:ind w:right="360"/>
        <w:jc w:val="center"/>
        <w:rPr>
          <w:rFonts w:eastAsia="仿宋_GB2312"/>
          <w:b/>
          <w:bCs/>
          <w:szCs w:val="28"/>
        </w:rPr>
      </w:pPr>
      <w:r>
        <w:rPr>
          <w:rFonts w:hint="eastAsia" w:ascii="宋体" w:hAnsi="宋体"/>
          <w:b/>
          <w:sz w:val="24"/>
        </w:rPr>
        <w:t>参加网络投票的具体操作流程</w:t>
      </w:r>
    </w:p>
    <w:p w14:paraId="5C8FD369">
      <w:pPr>
        <w:autoSpaceDE w:val="0"/>
        <w:autoSpaceDN w:val="0"/>
        <w:adjustRightInd w:val="0"/>
        <w:spacing w:line="360" w:lineRule="auto"/>
        <w:ind w:right="360" w:firstLine="482" w:firstLineChars="200"/>
        <w:rPr>
          <w:rFonts w:ascii="宋体" w:hAnsi="宋体"/>
          <w:b/>
          <w:sz w:val="24"/>
        </w:rPr>
      </w:pPr>
      <w:r>
        <w:rPr>
          <w:rFonts w:hint="eastAsia" w:ascii="宋体" w:hAnsi="宋体"/>
          <w:b/>
          <w:sz w:val="24"/>
        </w:rPr>
        <w:t>一、网络投票的程序</w:t>
      </w:r>
    </w:p>
    <w:p w14:paraId="7FBD83F2">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1、投票代码：</w:t>
      </w:r>
      <w:r>
        <w:rPr>
          <w:rFonts w:ascii="宋体" w:hAnsi="宋体"/>
          <w:kern w:val="0"/>
          <w:sz w:val="24"/>
        </w:rPr>
        <w:t>36</w:t>
      </w:r>
      <w:r>
        <w:rPr>
          <w:rFonts w:hint="eastAsia" w:ascii="宋体" w:hAnsi="宋体"/>
          <w:kern w:val="0"/>
          <w:sz w:val="24"/>
        </w:rPr>
        <w:t>2221</w:t>
      </w:r>
      <w:r>
        <w:rPr>
          <w:rFonts w:hint="eastAsia" w:ascii="宋体" w:hAnsi="宋体"/>
          <w:sz w:val="24"/>
        </w:rPr>
        <w:t>。</w:t>
      </w:r>
    </w:p>
    <w:p w14:paraId="246848A3">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2、投票简称：“</w:t>
      </w:r>
      <w:r>
        <w:rPr>
          <w:rFonts w:hint="eastAsia" w:ascii="宋体" w:hAnsi="宋体" w:cs="宋体"/>
          <w:kern w:val="0"/>
          <w:sz w:val="24"/>
        </w:rPr>
        <w:t>东华投票”</w:t>
      </w:r>
      <w:r>
        <w:rPr>
          <w:rFonts w:hint="eastAsia" w:ascii="宋体" w:hAnsi="宋体"/>
          <w:sz w:val="24"/>
        </w:rPr>
        <w:t>。</w:t>
      </w:r>
    </w:p>
    <w:p w14:paraId="6A16DB99">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3、填报表决意见或选举票数。</w:t>
      </w:r>
    </w:p>
    <w:p w14:paraId="61428895">
      <w:pPr>
        <w:autoSpaceDE w:val="0"/>
        <w:autoSpaceDN w:val="0"/>
        <w:adjustRightInd w:val="0"/>
        <w:spacing w:line="360" w:lineRule="auto"/>
        <w:ind w:firstLine="480" w:firstLineChars="200"/>
        <w:rPr>
          <w:rFonts w:ascii="宋体" w:hAnsi="宋体"/>
          <w:sz w:val="24"/>
        </w:rPr>
      </w:pPr>
      <w:r>
        <w:rPr>
          <w:rFonts w:hint="eastAsia" w:ascii="宋体" w:hAnsi="宋体"/>
          <w:sz w:val="24"/>
        </w:rPr>
        <w:t>本次股东大会的议案为非累积投票议案，填报表决意见：同意、反对、弃权。</w:t>
      </w:r>
    </w:p>
    <w:p w14:paraId="6BAF06E1">
      <w:pPr>
        <w:spacing w:line="360" w:lineRule="auto"/>
        <w:ind w:firstLine="480" w:firstLineChars="200"/>
        <w:rPr>
          <w:rFonts w:ascii="宋体" w:hAnsi="宋体" w:cs="宋体"/>
          <w:sz w:val="24"/>
        </w:rPr>
      </w:pPr>
      <w:r>
        <w:rPr>
          <w:rFonts w:hint="eastAsia" w:ascii="宋体" w:hAnsi="宋体" w:cs="宋体"/>
          <w:sz w:val="24"/>
        </w:rPr>
        <w:t>4、股东对总议案进行投票，视为对除累积投票议案外的其他所有议案表达相同意见。</w:t>
      </w:r>
    </w:p>
    <w:p w14:paraId="0CC7E15F">
      <w:pPr>
        <w:spacing w:line="360" w:lineRule="auto"/>
        <w:ind w:firstLine="480" w:firstLineChars="200"/>
        <w:rPr>
          <w:rFonts w:ascii="宋体" w:hAnsi="宋体"/>
          <w:sz w:val="24"/>
        </w:rPr>
      </w:pPr>
      <w:r>
        <w:rPr>
          <w:rFonts w:hint="eastAsia" w:ascii="宋体" w:hAnsi="宋体"/>
          <w:sz w:val="24"/>
        </w:rPr>
        <w:t>股东对总议案与具体议案重复投票时，以第一次有效投票为准。如股东先对具体议案投票表决，再对总议案投票表决，则以已投票表决具体议案的表决意见为准，其他未表决的议案以总议案的表决意见为准；如先对总议案投票表决，再对具体议案投票表决，则以总议案的表决意见为准。</w:t>
      </w:r>
    </w:p>
    <w:p w14:paraId="7FEFD32D">
      <w:pPr>
        <w:spacing w:line="360" w:lineRule="auto"/>
        <w:ind w:firstLine="482" w:firstLineChars="200"/>
        <w:rPr>
          <w:rFonts w:ascii="宋体" w:hAnsi="宋体"/>
          <w:b/>
          <w:sz w:val="24"/>
        </w:rPr>
      </w:pPr>
      <w:r>
        <w:rPr>
          <w:rFonts w:hint="eastAsia" w:ascii="宋体" w:hAnsi="宋体"/>
          <w:b/>
          <w:sz w:val="24"/>
        </w:rPr>
        <w:t>二、通过深交所交易系统投票的程序</w:t>
      </w:r>
    </w:p>
    <w:p w14:paraId="2D21F4A0">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1、投票时</w:t>
      </w:r>
      <w:r>
        <w:rPr>
          <w:rFonts w:hint="eastAsia" w:ascii="宋体" w:hAnsi="宋体"/>
          <w:sz w:val="24"/>
          <w:highlight w:val="none"/>
        </w:rPr>
        <w:t>间：</w:t>
      </w:r>
      <w:r>
        <w:rPr>
          <w:rFonts w:hint="eastAsia" w:ascii="宋体" w:hAnsi="宋体"/>
          <w:sz w:val="24"/>
          <w:highlight w:val="none"/>
          <w:lang w:eastAsia="zh-CN"/>
        </w:rPr>
        <w:t>2025年3月6日</w:t>
      </w:r>
      <w:r>
        <w:rPr>
          <w:rFonts w:hint="eastAsia" w:ascii="宋体" w:hAnsi="宋体"/>
          <w:sz w:val="24"/>
          <w:highlight w:val="none"/>
        </w:rPr>
        <w:t>的交易时间，即上午9:15—9:25与9:30-11:30，下午13:00—15:00</w:t>
      </w:r>
    </w:p>
    <w:p w14:paraId="0DB8FB8A">
      <w:pPr>
        <w:spacing w:line="360" w:lineRule="auto"/>
        <w:ind w:left="479" w:leftChars="228"/>
        <w:rPr>
          <w:rFonts w:ascii="宋体" w:hAnsi="宋体"/>
          <w:sz w:val="24"/>
        </w:rPr>
      </w:pPr>
      <w:r>
        <w:rPr>
          <w:rFonts w:hint="eastAsia" w:ascii="宋体" w:hAnsi="宋体"/>
          <w:sz w:val="24"/>
        </w:rPr>
        <w:t>2、股东可以登录证券公司交易客户端通过交易系统投票。</w:t>
      </w:r>
    </w:p>
    <w:p w14:paraId="7B7EF48C">
      <w:pPr>
        <w:pStyle w:val="19"/>
        <w:spacing w:line="360" w:lineRule="auto"/>
        <w:ind w:firstLine="482"/>
        <w:rPr>
          <w:rFonts w:ascii="宋体" w:hAnsi="宋体"/>
          <w:b/>
          <w:bCs/>
          <w:sz w:val="24"/>
        </w:rPr>
      </w:pPr>
      <w:r>
        <w:rPr>
          <w:rFonts w:hint="eastAsia" w:ascii="宋体" w:hAnsi="宋体"/>
          <w:b/>
          <w:bCs/>
          <w:sz w:val="24"/>
        </w:rPr>
        <w:t>三、通过深交所互联网投票系统投票的程序</w:t>
      </w:r>
    </w:p>
    <w:p w14:paraId="28EE609A">
      <w:pPr>
        <w:pStyle w:val="19"/>
        <w:spacing w:line="360" w:lineRule="auto"/>
        <w:ind w:firstLine="480"/>
        <w:rPr>
          <w:rFonts w:ascii="宋体" w:hAnsi="宋体"/>
          <w:bCs/>
          <w:sz w:val="24"/>
        </w:rPr>
      </w:pPr>
      <w:r>
        <w:rPr>
          <w:rFonts w:hint="eastAsia" w:ascii="宋体" w:hAnsi="宋体"/>
          <w:bCs/>
          <w:sz w:val="24"/>
        </w:rPr>
        <w:t>1、</w:t>
      </w:r>
      <w:r>
        <w:rPr>
          <w:rFonts w:hint="eastAsia" w:ascii="宋体" w:hAnsi="宋体"/>
          <w:sz w:val="24"/>
        </w:rPr>
        <w:t>互联网投票系统开始投票的时间为</w:t>
      </w:r>
      <w:r>
        <w:rPr>
          <w:rFonts w:hint="eastAsia" w:ascii="宋体" w:hAnsi="宋体"/>
          <w:sz w:val="24"/>
          <w:lang w:eastAsia="zh-CN"/>
        </w:rPr>
        <w:t>2025年3月6日</w:t>
      </w:r>
      <w:r>
        <w:rPr>
          <w:rFonts w:hint="eastAsia" w:ascii="宋体" w:hAnsi="宋体"/>
          <w:sz w:val="24"/>
        </w:rPr>
        <w:t>上午9:15，结束时间为</w:t>
      </w:r>
      <w:r>
        <w:rPr>
          <w:rFonts w:hint="eastAsia" w:ascii="宋体" w:hAnsi="宋体"/>
          <w:sz w:val="24"/>
          <w:lang w:eastAsia="zh-CN"/>
        </w:rPr>
        <w:t>2025年3月6日</w:t>
      </w:r>
      <w:r>
        <w:rPr>
          <w:rFonts w:hint="eastAsia" w:ascii="宋体" w:hAnsi="宋体"/>
          <w:sz w:val="24"/>
        </w:rPr>
        <w:t>下午15:00。</w:t>
      </w:r>
    </w:p>
    <w:p w14:paraId="5C171106">
      <w:pPr>
        <w:pStyle w:val="19"/>
        <w:spacing w:line="360" w:lineRule="auto"/>
        <w:ind w:firstLine="480"/>
        <w:rPr>
          <w:rFonts w:ascii="宋体" w:hAnsi="宋体"/>
          <w:sz w:val="24"/>
        </w:rPr>
      </w:pPr>
      <w:r>
        <w:rPr>
          <w:rFonts w:hint="eastAsia" w:ascii="宋体" w:hAnsi="宋体"/>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fldChar w:fldCharType="begin"/>
      </w:r>
      <w:r>
        <w:instrText xml:space="preserve"> HYPERLINK "http://wltp.cninfo.com.cn/" </w:instrText>
      </w:r>
      <w:r>
        <w:fldChar w:fldCharType="separate"/>
      </w:r>
      <w:r>
        <w:rPr>
          <w:rFonts w:ascii="宋体" w:hAnsi="宋体"/>
          <w:sz w:val="24"/>
        </w:rPr>
        <w:t>http://wltp.cninfo.com.cn</w:t>
      </w:r>
      <w:r>
        <w:rPr>
          <w:rFonts w:ascii="宋体" w:hAnsi="宋体"/>
          <w:sz w:val="24"/>
        </w:rPr>
        <w:fldChar w:fldCharType="end"/>
      </w:r>
      <w:r>
        <w:rPr>
          <w:rFonts w:hint="eastAsia" w:ascii="宋体" w:hAnsi="宋体"/>
          <w:sz w:val="24"/>
        </w:rPr>
        <w:t>规则指引栏目查阅。</w:t>
      </w:r>
    </w:p>
    <w:p w14:paraId="21CEA5E9">
      <w:pPr>
        <w:pStyle w:val="19"/>
        <w:spacing w:line="360" w:lineRule="auto"/>
        <w:ind w:firstLine="480"/>
        <w:rPr>
          <w:rFonts w:ascii="宋体" w:hAnsi="宋体"/>
          <w:sz w:val="24"/>
        </w:rPr>
      </w:pPr>
      <w:r>
        <w:rPr>
          <w:rFonts w:hint="eastAsia" w:ascii="宋体" w:hAnsi="宋体"/>
          <w:sz w:val="24"/>
        </w:rPr>
        <w:t>3、股东根据获取的服务密码或数字证书，可登录</w:t>
      </w:r>
      <w:r>
        <w:fldChar w:fldCharType="begin"/>
      </w:r>
      <w:r>
        <w:instrText xml:space="preserve"> HYPERLINK "http://wltp.cninfo.com.cn/" </w:instrText>
      </w:r>
      <w:r>
        <w:fldChar w:fldCharType="separate"/>
      </w:r>
      <w:r>
        <w:rPr>
          <w:rFonts w:ascii="宋体" w:hAnsi="宋体"/>
          <w:sz w:val="24"/>
        </w:rPr>
        <w:t>http://wltp.cninfo.com.cn</w:t>
      </w:r>
      <w:r>
        <w:rPr>
          <w:rFonts w:ascii="宋体" w:hAnsi="宋体"/>
          <w:sz w:val="24"/>
        </w:rPr>
        <w:fldChar w:fldCharType="end"/>
      </w:r>
      <w:r>
        <w:rPr>
          <w:rFonts w:hint="eastAsia" w:ascii="宋体" w:hAnsi="宋体"/>
          <w:sz w:val="24"/>
        </w:rPr>
        <w:t>在规定时间内通过深交所互联网投票系统进行投票。</w:t>
      </w:r>
    </w:p>
    <w:p w14:paraId="416A393D">
      <w:pPr>
        <w:spacing w:line="360" w:lineRule="auto"/>
        <w:rPr>
          <w:rFonts w:ascii="宋体" w:hAnsi="宋体"/>
          <w:b/>
          <w:sz w:val="24"/>
        </w:rPr>
      </w:pPr>
    </w:p>
    <w:p w14:paraId="6DC43D4C">
      <w:pPr>
        <w:spacing w:line="360" w:lineRule="auto"/>
        <w:rPr>
          <w:rFonts w:ascii="宋体" w:hAnsi="宋体"/>
          <w:b/>
          <w:sz w:val="24"/>
        </w:rPr>
      </w:pPr>
      <w:r>
        <w:rPr>
          <w:rFonts w:ascii="宋体" w:hAnsi="宋体"/>
          <w:b/>
          <w:sz w:val="24"/>
        </w:rPr>
        <w:br w:type="page"/>
      </w:r>
      <w:r>
        <w:rPr>
          <w:rFonts w:hint="eastAsia" w:ascii="宋体" w:hAnsi="宋体"/>
          <w:b/>
          <w:sz w:val="24"/>
        </w:rPr>
        <w:t>附件二：</w:t>
      </w:r>
    </w:p>
    <w:p w14:paraId="1A854EE7">
      <w:pPr>
        <w:spacing w:line="360" w:lineRule="auto"/>
        <w:ind w:firstLine="3120" w:firstLineChars="1300"/>
        <w:rPr>
          <w:rFonts w:ascii="宋体" w:hAnsi="宋体"/>
          <w:sz w:val="24"/>
        </w:rPr>
      </w:pPr>
      <w:r>
        <w:rPr>
          <w:rFonts w:hint="eastAsia" w:ascii="宋体" w:hAnsi="宋体"/>
          <w:sz w:val="24"/>
        </w:rPr>
        <w:t>授  权  委  托  书</w:t>
      </w:r>
    </w:p>
    <w:p w14:paraId="09274F83">
      <w:pPr>
        <w:spacing w:line="360" w:lineRule="auto"/>
        <w:rPr>
          <w:rFonts w:ascii="宋体" w:hAnsi="宋体"/>
          <w:sz w:val="24"/>
        </w:rPr>
      </w:pPr>
      <w:r>
        <w:rPr>
          <w:rFonts w:hint="eastAsia" w:ascii="宋体" w:hAnsi="宋体"/>
          <w:sz w:val="24"/>
        </w:rPr>
        <w:t>致：东华能源股份有限公司：</w:t>
      </w:r>
    </w:p>
    <w:p w14:paraId="68BF5BB3">
      <w:pPr>
        <w:spacing w:line="360" w:lineRule="auto"/>
        <w:ind w:firstLine="480" w:firstLineChars="200"/>
        <w:rPr>
          <w:rFonts w:ascii="宋体" w:hAnsi="宋体"/>
          <w:sz w:val="24"/>
        </w:rPr>
      </w:pPr>
      <w:r>
        <w:rPr>
          <w:rFonts w:hint="eastAsia" w:ascii="宋体" w:hAnsi="宋体"/>
          <w:sz w:val="24"/>
        </w:rPr>
        <w:t>兹委托</w:t>
      </w:r>
      <w:r>
        <w:rPr>
          <w:rFonts w:hint="eastAsia" w:ascii="宋体" w:hAnsi="宋体"/>
          <w:sz w:val="24"/>
          <w:u w:val="single"/>
        </w:rPr>
        <w:t xml:space="preserve">      </w:t>
      </w:r>
      <w:r>
        <w:rPr>
          <w:rFonts w:hint="eastAsia" w:ascii="宋体" w:hAnsi="宋体"/>
          <w:sz w:val="24"/>
        </w:rPr>
        <w:t>先生（女士）代表本公司（本人）出席东华能源股份有限公司</w:t>
      </w:r>
      <w:r>
        <w:rPr>
          <w:rFonts w:hint="eastAsia" w:ascii="宋体" w:hAnsi="宋体"/>
          <w:sz w:val="24"/>
          <w:lang w:eastAsia="zh-CN"/>
        </w:rPr>
        <w:t>2025年第一次</w:t>
      </w:r>
      <w:r>
        <w:rPr>
          <w:rFonts w:hint="eastAsia" w:ascii="宋体" w:hAnsi="宋体"/>
          <w:sz w:val="24"/>
        </w:rPr>
        <w:t>临时</w:t>
      </w:r>
      <w:r>
        <w:rPr>
          <w:rFonts w:ascii="宋体" w:hAnsi="宋体"/>
          <w:sz w:val="24"/>
        </w:rPr>
        <w:t>股东大会</w:t>
      </w:r>
      <w:r>
        <w:rPr>
          <w:rFonts w:hint="eastAsia" w:ascii="宋体" w:hAnsi="宋体"/>
          <w:sz w:val="24"/>
        </w:rPr>
        <w:t>，对以下议案以投票方式代为行使表决权：</w:t>
      </w:r>
    </w:p>
    <w:p w14:paraId="4E702E2F">
      <w:pPr>
        <w:spacing w:line="360" w:lineRule="auto"/>
        <w:jc w:val="center"/>
        <w:rPr>
          <w:rFonts w:ascii="宋体" w:hAnsi="宋体"/>
          <w:b/>
          <w:bCs/>
          <w:sz w:val="24"/>
        </w:rPr>
      </w:pPr>
      <w:r>
        <w:rPr>
          <w:rFonts w:hint="eastAsia" w:ascii="宋体" w:hAnsi="宋体"/>
          <w:b/>
          <w:bCs/>
          <w:sz w:val="24"/>
        </w:rPr>
        <w:t>表二 本次股东大会提案表决意见表</w:t>
      </w:r>
    </w:p>
    <w:p w14:paraId="2B584A5B">
      <w:pPr>
        <w:spacing w:line="360" w:lineRule="auto"/>
        <w:jc w:val="center"/>
        <w:rPr>
          <w:rFonts w:ascii="宋体" w:hAnsi="宋体"/>
          <w:szCs w:val="21"/>
        </w:rPr>
      </w:pPr>
      <w:r>
        <w:rPr>
          <w:rFonts w:hint="eastAsia" w:ascii="宋体" w:hAnsi="宋体"/>
          <w:szCs w:val="21"/>
        </w:rPr>
        <w:t>（以在下表</w:t>
      </w:r>
      <w:r>
        <w:rPr>
          <w:rFonts w:ascii="宋体" w:hAnsi="宋体"/>
          <w:szCs w:val="21"/>
        </w:rPr>
        <w:t>“</w:t>
      </w:r>
      <w:r>
        <w:rPr>
          <w:rFonts w:hint="eastAsia" w:ascii="宋体" w:hAnsi="宋体"/>
          <w:szCs w:val="21"/>
        </w:rPr>
        <w:t>表决意见</w:t>
      </w:r>
      <w:r>
        <w:rPr>
          <w:rFonts w:ascii="宋体" w:hAnsi="宋体"/>
          <w:szCs w:val="21"/>
        </w:rPr>
        <w:t>”</w:t>
      </w:r>
      <w:r>
        <w:rPr>
          <w:rFonts w:hint="eastAsia" w:ascii="宋体" w:hAnsi="宋体"/>
          <w:szCs w:val="21"/>
        </w:rPr>
        <w:t>栏内的</w:t>
      </w:r>
      <w:r>
        <w:rPr>
          <w:rFonts w:ascii="宋体" w:hAnsi="宋体"/>
          <w:szCs w:val="21"/>
        </w:rPr>
        <w:t>“</w:t>
      </w:r>
      <w:r>
        <w:rPr>
          <w:rFonts w:hint="eastAsia" w:ascii="宋体" w:hAnsi="宋体"/>
          <w:szCs w:val="21"/>
        </w:rPr>
        <w:t>同意</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反对</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弃权</w:t>
      </w:r>
      <w:r>
        <w:rPr>
          <w:rFonts w:ascii="宋体" w:hAnsi="宋体"/>
          <w:szCs w:val="21"/>
        </w:rPr>
        <w:t>”</w:t>
      </w:r>
      <w:r>
        <w:rPr>
          <w:rFonts w:hint="eastAsia" w:ascii="宋体" w:hAnsi="宋体"/>
          <w:szCs w:val="21"/>
        </w:rPr>
        <w:t>之一栏内打</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表示）</w:t>
      </w:r>
    </w:p>
    <w:tbl>
      <w:tblPr>
        <w:tblStyle w:val="1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3402"/>
        <w:gridCol w:w="1712"/>
        <w:gridCol w:w="850"/>
        <w:gridCol w:w="851"/>
        <w:gridCol w:w="782"/>
      </w:tblGrid>
      <w:tr w14:paraId="4EF0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88" w:type="dxa"/>
            <w:vMerge w:val="restart"/>
            <w:tcBorders>
              <w:top w:val="single" w:color="auto" w:sz="4" w:space="0"/>
              <w:left w:val="single" w:color="auto" w:sz="4" w:space="0"/>
              <w:right w:val="single" w:color="auto" w:sz="4" w:space="0"/>
            </w:tcBorders>
            <w:vAlign w:val="center"/>
          </w:tcPr>
          <w:p w14:paraId="6C969FC3">
            <w:pPr>
              <w:jc w:val="center"/>
              <w:rPr>
                <w:rFonts w:ascii="宋体" w:hAnsi="宋体"/>
                <w:szCs w:val="21"/>
              </w:rPr>
            </w:pPr>
            <w:r>
              <w:rPr>
                <w:rFonts w:hint="eastAsia" w:ascii="宋体" w:hAnsi="宋体"/>
                <w:b/>
                <w:bCs/>
                <w:szCs w:val="21"/>
              </w:rPr>
              <w:t>提案</w:t>
            </w:r>
            <w:r>
              <w:rPr>
                <w:rFonts w:ascii="宋体" w:hAnsi="宋体"/>
                <w:b/>
                <w:bCs/>
                <w:szCs w:val="21"/>
              </w:rPr>
              <w:t>编码</w:t>
            </w:r>
          </w:p>
        </w:tc>
        <w:tc>
          <w:tcPr>
            <w:tcW w:w="3402" w:type="dxa"/>
            <w:vMerge w:val="restart"/>
            <w:tcBorders>
              <w:top w:val="single" w:color="auto" w:sz="4" w:space="0"/>
              <w:left w:val="single" w:color="auto" w:sz="4" w:space="0"/>
              <w:right w:val="single" w:color="auto" w:sz="4" w:space="0"/>
            </w:tcBorders>
            <w:vAlign w:val="center"/>
          </w:tcPr>
          <w:p w14:paraId="2E432F59">
            <w:pPr>
              <w:jc w:val="center"/>
              <w:rPr>
                <w:rFonts w:ascii="宋体" w:hAnsi="宋体"/>
                <w:b/>
                <w:szCs w:val="21"/>
              </w:rPr>
            </w:pPr>
            <w:r>
              <w:rPr>
                <w:rFonts w:hint="eastAsia" w:ascii="宋体" w:hAnsi="宋体"/>
                <w:b/>
                <w:szCs w:val="21"/>
              </w:rPr>
              <w:t>提案</w:t>
            </w:r>
            <w:r>
              <w:rPr>
                <w:rFonts w:ascii="宋体" w:hAnsi="宋体"/>
                <w:b/>
                <w:szCs w:val="21"/>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69EADF0C">
            <w:pPr>
              <w:jc w:val="center"/>
              <w:rPr>
                <w:rFonts w:ascii="宋体" w:hAnsi="宋体"/>
                <w:b/>
                <w:szCs w:val="21"/>
              </w:rPr>
            </w:pPr>
            <w:r>
              <w:rPr>
                <w:rFonts w:hint="eastAsia" w:ascii="宋体" w:hAnsi="宋体"/>
                <w:b/>
                <w:szCs w:val="21"/>
              </w:rPr>
              <w:t>备注</w:t>
            </w:r>
          </w:p>
        </w:tc>
        <w:tc>
          <w:tcPr>
            <w:tcW w:w="850" w:type="dxa"/>
            <w:tcBorders>
              <w:top w:val="single" w:color="auto" w:sz="4" w:space="0"/>
              <w:left w:val="single" w:color="auto" w:sz="4" w:space="0"/>
              <w:bottom w:val="single" w:color="auto" w:sz="4" w:space="0"/>
              <w:right w:val="single" w:color="auto" w:sz="4" w:space="0"/>
            </w:tcBorders>
            <w:vAlign w:val="center"/>
          </w:tcPr>
          <w:p w14:paraId="66BDC53A">
            <w:pPr>
              <w:jc w:val="center"/>
              <w:rPr>
                <w:rFonts w:ascii="宋体" w:hAnsi="宋体"/>
                <w:b/>
                <w:szCs w:val="21"/>
              </w:rPr>
            </w:pPr>
            <w:r>
              <w:rPr>
                <w:rFonts w:hint="eastAsia" w:ascii="宋体" w:hAnsi="宋体"/>
                <w:b/>
                <w:szCs w:val="21"/>
              </w:rPr>
              <w:t>同意</w:t>
            </w:r>
          </w:p>
        </w:tc>
        <w:tc>
          <w:tcPr>
            <w:tcW w:w="851" w:type="dxa"/>
            <w:tcBorders>
              <w:top w:val="single" w:color="auto" w:sz="4" w:space="0"/>
              <w:left w:val="single" w:color="auto" w:sz="4" w:space="0"/>
              <w:bottom w:val="single" w:color="auto" w:sz="4" w:space="0"/>
              <w:right w:val="single" w:color="auto" w:sz="4" w:space="0"/>
            </w:tcBorders>
            <w:vAlign w:val="center"/>
          </w:tcPr>
          <w:p w14:paraId="13DB7316">
            <w:pPr>
              <w:jc w:val="center"/>
              <w:rPr>
                <w:rFonts w:ascii="宋体" w:hAnsi="宋体"/>
                <w:b/>
                <w:szCs w:val="21"/>
              </w:rPr>
            </w:pPr>
            <w:r>
              <w:rPr>
                <w:rFonts w:hint="eastAsia" w:ascii="宋体" w:hAnsi="宋体"/>
                <w:b/>
                <w:szCs w:val="21"/>
              </w:rPr>
              <w:t>反对</w:t>
            </w:r>
          </w:p>
        </w:tc>
        <w:tc>
          <w:tcPr>
            <w:tcW w:w="782" w:type="dxa"/>
            <w:tcBorders>
              <w:top w:val="single" w:color="auto" w:sz="4" w:space="0"/>
              <w:left w:val="single" w:color="auto" w:sz="4" w:space="0"/>
              <w:bottom w:val="single" w:color="auto" w:sz="4" w:space="0"/>
              <w:right w:val="single" w:color="auto" w:sz="4" w:space="0"/>
            </w:tcBorders>
            <w:vAlign w:val="center"/>
          </w:tcPr>
          <w:p w14:paraId="1BDAF3BA">
            <w:pPr>
              <w:jc w:val="center"/>
              <w:rPr>
                <w:rFonts w:ascii="宋体" w:hAnsi="宋体"/>
                <w:b/>
                <w:szCs w:val="21"/>
              </w:rPr>
            </w:pPr>
            <w:r>
              <w:rPr>
                <w:rFonts w:hint="eastAsia" w:ascii="宋体" w:hAnsi="宋体"/>
                <w:b/>
                <w:szCs w:val="21"/>
              </w:rPr>
              <w:t>弃权</w:t>
            </w:r>
          </w:p>
        </w:tc>
      </w:tr>
      <w:tr w14:paraId="070C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8" w:type="dxa"/>
            <w:vMerge w:val="continue"/>
            <w:tcBorders>
              <w:left w:val="single" w:color="auto" w:sz="4" w:space="0"/>
              <w:bottom w:val="single" w:color="auto" w:sz="4" w:space="0"/>
              <w:right w:val="single" w:color="auto" w:sz="4" w:space="0"/>
            </w:tcBorders>
            <w:vAlign w:val="center"/>
          </w:tcPr>
          <w:p w14:paraId="4AC464EA">
            <w:pPr>
              <w:jc w:val="center"/>
              <w:rPr>
                <w:rFonts w:ascii="宋体" w:hAnsi="宋体"/>
                <w:szCs w:val="21"/>
              </w:rPr>
            </w:pPr>
          </w:p>
        </w:tc>
        <w:tc>
          <w:tcPr>
            <w:tcW w:w="3402" w:type="dxa"/>
            <w:vMerge w:val="continue"/>
            <w:tcBorders>
              <w:left w:val="single" w:color="auto" w:sz="4" w:space="0"/>
              <w:bottom w:val="single" w:color="auto" w:sz="4" w:space="0"/>
              <w:right w:val="single" w:color="auto" w:sz="4" w:space="0"/>
            </w:tcBorders>
            <w:vAlign w:val="center"/>
          </w:tcPr>
          <w:p w14:paraId="1E070235">
            <w:pPr>
              <w:jc w:val="center"/>
              <w:rPr>
                <w:rFonts w:ascii="宋体" w:hAnsi="宋体"/>
                <w:b/>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1A88296E">
            <w:pPr>
              <w:jc w:val="center"/>
              <w:rPr>
                <w:rFonts w:ascii="宋体" w:hAnsi="宋体"/>
                <w:b/>
                <w:szCs w:val="21"/>
              </w:rPr>
            </w:pPr>
            <w:r>
              <w:rPr>
                <w:rFonts w:hint="eastAsia" w:ascii="宋体" w:hAnsi="宋体"/>
                <w:szCs w:val="21"/>
              </w:rPr>
              <w:t>该列打勾的栏目可以投票</w:t>
            </w:r>
          </w:p>
        </w:tc>
        <w:tc>
          <w:tcPr>
            <w:tcW w:w="2483" w:type="dxa"/>
            <w:gridSpan w:val="3"/>
            <w:tcBorders>
              <w:top w:val="single" w:color="auto" w:sz="4" w:space="0"/>
              <w:left w:val="single" w:color="auto" w:sz="4" w:space="0"/>
              <w:bottom w:val="single" w:color="auto" w:sz="4" w:space="0"/>
              <w:right w:val="single" w:color="auto" w:sz="4" w:space="0"/>
            </w:tcBorders>
            <w:vAlign w:val="center"/>
          </w:tcPr>
          <w:p w14:paraId="6D90F24D">
            <w:pPr>
              <w:jc w:val="center"/>
              <w:rPr>
                <w:rFonts w:ascii="宋体" w:hAnsi="宋体"/>
                <w:szCs w:val="21"/>
              </w:rPr>
            </w:pPr>
          </w:p>
        </w:tc>
      </w:tr>
      <w:tr w14:paraId="725A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003084B1">
            <w:pPr>
              <w:jc w:val="center"/>
              <w:rPr>
                <w:rFonts w:ascii="宋体" w:hAnsi="宋体"/>
                <w:szCs w:val="21"/>
              </w:rPr>
            </w:pPr>
            <w:r>
              <w:rPr>
                <w:rFonts w:hint="eastAsia" w:ascii="宋体" w:hAnsi="宋体"/>
                <w:szCs w:val="21"/>
              </w:rPr>
              <w:t>100</w:t>
            </w:r>
          </w:p>
        </w:tc>
        <w:tc>
          <w:tcPr>
            <w:tcW w:w="3402" w:type="dxa"/>
            <w:tcBorders>
              <w:top w:val="single" w:color="auto" w:sz="4" w:space="0"/>
              <w:left w:val="single" w:color="auto" w:sz="4" w:space="0"/>
              <w:bottom w:val="single" w:color="auto" w:sz="4" w:space="0"/>
              <w:right w:val="single" w:color="auto" w:sz="4" w:space="0"/>
            </w:tcBorders>
            <w:vAlign w:val="center"/>
          </w:tcPr>
          <w:p w14:paraId="76FCE141">
            <w:pPr>
              <w:jc w:val="center"/>
              <w:rPr>
                <w:rFonts w:ascii="宋体" w:hAnsi="宋体"/>
                <w:b/>
                <w:szCs w:val="21"/>
              </w:rPr>
            </w:pPr>
            <w:r>
              <w:rPr>
                <w:rFonts w:hint="eastAsia" w:ascii="宋体" w:hAnsi="宋体"/>
                <w:b/>
                <w:szCs w:val="21"/>
              </w:rPr>
              <w:t>总议案：除累积投票提案</w:t>
            </w:r>
          </w:p>
          <w:p w14:paraId="6467C04A">
            <w:pPr>
              <w:jc w:val="center"/>
              <w:rPr>
                <w:rFonts w:ascii="宋体" w:hAnsi="宋体"/>
                <w:b/>
                <w:szCs w:val="21"/>
              </w:rPr>
            </w:pPr>
            <w:r>
              <w:rPr>
                <w:rFonts w:hint="eastAsia" w:ascii="宋体" w:hAnsi="宋体"/>
                <w:b/>
                <w:szCs w:val="21"/>
              </w:rPr>
              <w:t>外的所有提案</w:t>
            </w:r>
          </w:p>
        </w:tc>
        <w:tc>
          <w:tcPr>
            <w:tcW w:w="1712" w:type="dxa"/>
            <w:tcBorders>
              <w:top w:val="single" w:color="auto" w:sz="4" w:space="0"/>
              <w:left w:val="single" w:color="auto" w:sz="4" w:space="0"/>
              <w:bottom w:val="single" w:color="auto" w:sz="4" w:space="0"/>
              <w:right w:val="single" w:color="auto" w:sz="4" w:space="0"/>
            </w:tcBorders>
            <w:vAlign w:val="center"/>
          </w:tcPr>
          <w:p w14:paraId="3835E681">
            <w:pPr>
              <w:jc w:val="center"/>
              <w:rPr>
                <w:rFonts w:ascii="宋体" w:hAnsi="宋体"/>
                <w:b/>
                <w:szCs w:val="21"/>
              </w:rPr>
            </w:pP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7531E602">
            <w:pPr>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2BC3E45">
            <w:pPr>
              <w:jc w:val="center"/>
              <w:rPr>
                <w:rFonts w:ascii="宋体" w:hAnsi="宋体"/>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2F78894D">
            <w:pPr>
              <w:jc w:val="center"/>
              <w:rPr>
                <w:rFonts w:ascii="宋体" w:hAnsi="宋体"/>
                <w:szCs w:val="21"/>
              </w:rPr>
            </w:pPr>
          </w:p>
        </w:tc>
      </w:tr>
      <w:tr w14:paraId="3557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202F42EF">
            <w:pPr>
              <w:jc w:val="center"/>
              <w:rPr>
                <w:rFonts w:ascii="宋体" w:hAnsi="宋体"/>
                <w:szCs w:val="21"/>
              </w:rPr>
            </w:pPr>
            <w:r>
              <w:rPr>
                <w:rFonts w:hint="eastAsia" w:ascii="宋体" w:hAnsi="宋体"/>
                <w:szCs w:val="21"/>
              </w:rPr>
              <w:t>非累积</w:t>
            </w:r>
          </w:p>
          <w:p w14:paraId="4A0AB04E">
            <w:pPr>
              <w:jc w:val="center"/>
              <w:rPr>
                <w:rFonts w:ascii="宋体" w:hAnsi="宋体"/>
                <w:szCs w:val="21"/>
              </w:rPr>
            </w:pPr>
            <w:r>
              <w:rPr>
                <w:rFonts w:hint="eastAsia" w:ascii="宋体" w:hAnsi="宋体"/>
                <w:szCs w:val="21"/>
              </w:rPr>
              <w:t>投票提案</w:t>
            </w:r>
          </w:p>
        </w:tc>
        <w:tc>
          <w:tcPr>
            <w:tcW w:w="7597" w:type="dxa"/>
            <w:gridSpan w:val="5"/>
            <w:tcBorders>
              <w:top w:val="single" w:color="auto" w:sz="4" w:space="0"/>
              <w:left w:val="single" w:color="auto" w:sz="4" w:space="0"/>
              <w:bottom w:val="single" w:color="auto" w:sz="4" w:space="0"/>
              <w:right w:val="single" w:color="auto" w:sz="4" w:space="0"/>
            </w:tcBorders>
            <w:vAlign w:val="center"/>
          </w:tcPr>
          <w:p w14:paraId="4859D981">
            <w:pPr>
              <w:jc w:val="left"/>
              <w:rPr>
                <w:rFonts w:ascii="宋体" w:hAnsi="宋体"/>
                <w:b/>
                <w:szCs w:val="21"/>
              </w:rPr>
            </w:pPr>
          </w:p>
        </w:tc>
      </w:tr>
      <w:tr w14:paraId="22D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5D258369">
            <w:pPr>
              <w:jc w:val="center"/>
              <w:rPr>
                <w:rFonts w:ascii="宋体" w:hAnsi="宋体"/>
                <w:szCs w:val="21"/>
              </w:rPr>
            </w:pPr>
            <w:r>
              <w:rPr>
                <w:rFonts w:hint="eastAsia" w:ascii="宋体" w:hAnsi="宋体"/>
                <w:szCs w:val="21"/>
              </w:rPr>
              <w:t>1</w:t>
            </w:r>
            <w:r>
              <w:rPr>
                <w:rFonts w:ascii="宋体" w:hAnsi="宋体"/>
                <w:szCs w:val="21"/>
              </w:rPr>
              <w:t>.00</w:t>
            </w:r>
          </w:p>
        </w:tc>
        <w:tc>
          <w:tcPr>
            <w:tcW w:w="3402" w:type="dxa"/>
            <w:tcBorders>
              <w:top w:val="single" w:color="auto" w:sz="4" w:space="0"/>
              <w:left w:val="single" w:color="auto" w:sz="4" w:space="0"/>
              <w:bottom w:val="single" w:color="auto" w:sz="4" w:space="0"/>
              <w:right w:val="single" w:color="auto" w:sz="4" w:space="0"/>
            </w:tcBorders>
          </w:tcPr>
          <w:p w14:paraId="1C934D76">
            <w:pPr>
              <w:jc w:val="left"/>
              <w:rPr>
                <w:rFonts w:ascii="宋体" w:hAnsi="宋体"/>
                <w:szCs w:val="21"/>
              </w:rPr>
            </w:pPr>
            <w:r>
              <w:rPr>
                <w:rFonts w:hint="eastAsia" w:ascii="宋体" w:hAnsi="宋体"/>
                <w:szCs w:val="21"/>
              </w:rPr>
              <w:t>《关于2025年度申请综合授信额度及为子公司提供担保额度的议案》</w:t>
            </w:r>
          </w:p>
        </w:tc>
        <w:tc>
          <w:tcPr>
            <w:tcW w:w="1712" w:type="dxa"/>
            <w:tcBorders>
              <w:top w:val="single" w:color="auto" w:sz="4" w:space="0"/>
              <w:left w:val="single" w:color="auto" w:sz="4" w:space="0"/>
              <w:bottom w:val="single" w:color="auto" w:sz="4" w:space="0"/>
              <w:right w:val="single" w:color="auto" w:sz="4" w:space="0"/>
            </w:tcBorders>
            <w:vAlign w:val="center"/>
          </w:tcPr>
          <w:p w14:paraId="06AF307B">
            <w:pPr>
              <w:jc w:val="center"/>
              <w:rPr>
                <w:rFonts w:ascii="宋体" w:hAnsi="宋体"/>
                <w:szCs w:val="21"/>
              </w:rPr>
            </w:pP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7CCF3C19">
            <w:pPr>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E8C2D42">
            <w:pPr>
              <w:jc w:val="center"/>
              <w:rPr>
                <w:rFonts w:ascii="宋体" w:hAnsi="宋体"/>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061A9939">
            <w:pPr>
              <w:jc w:val="center"/>
              <w:rPr>
                <w:rFonts w:ascii="宋体" w:hAnsi="宋体"/>
                <w:szCs w:val="21"/>
              </w:rPr>
            </w:pPr>
          </w:p>
        </w:tc>
      </w:tr>
    </w:tbl>
    <w:p w14:paraId="0CD9A46A">
      <w:pPr>
        <w:spacing w:line="360" w:lineRule="auto"/>
        <w:rPr>
          <w:rFonts w:ascii="宋体" w:hAnsi="宋体"/>
          <w:sz w:val="24"/>
        </w:rPr>
      </w:pPr>
      <w:r>
        <w:rPr>
          <w:rFonts w:hint="eastAsia" w:ascii="宋体" w:hAnsi="宋体"/>
          <w:szCs w:val="21"/>
        </w:rPr>
        <w:t>对于本次股东大会在本授权委托书中未作具体指示的，代理人有权按自己的意愿表决。</w:t>
      </w:r>
    </w:p>
    <w:p w14:paraId="69E9654C">
      <w:pPr>
        <w:spacing w:line="360" w:lineRule="auto"/>
        <w:rPr>
          <w:rFonts w:ascii="宋体" w:hAnsi="宋体"/>
          <w:sz w:val="24"/>
        </w:rPr>
      </w:pPr>
      <w:r>
        <w:rPr>
          <w:rFonts w:hint="eastAsia" w:ascii="宋体" w:hAnsi="宋体"/>
          <w:sz w:val="24"/>
        </w:rPr>
        <w:t>委托人姓名或名称（签章）：                委托人持股数：</w:t>
      </w:r>
    </w:p>
    <w:p w14:paraId="4D94EBDA">
      <w:pPr>
        <w:spacing w:line="360" w:lineRule="auto"/>
        <w:rPr>
          <w:rFonts w:ascii="宋体" w:hAnsi="宋体"/>
          <w:sz w:val="24"/>
        </w:rPr>
      </w:pPr>
      <w:r>
        <w:rPr>
          <w:rFonts w:hint="eastAsia" w:ascii="宋体" w:hAnsi="宋体"/>
          <w:sz w:val="24"/>
        </w:rPr>
        <w:t>委托人证件证号码：                       委托人股东账户：</w:t>
      </w:r>
    </w:p>
    <w:p w14:paraId="767A5740">
      <w:pPr>
        <w:spacing w:line="360" w:lineRule="auto"/>
        <w:rPr>
          <w:rFonts w:ascii="宋体" w:hAnsi="宋体"/>
          <w:sz w:val="24"/>
        </w:rPr>
      </w:pPr>
    </w:p>
    <w:p w14:paraId="7F130FEE">
      <w:pPr>
        <w:spacing w:line="360" w:lineRule="auto"/>
        <w:rPr>
          <w:rFonts w:ascii="宋体" w:hAnsi="宋体"/>
          <w:sz w:val="24"/>
        </w:rPr>
      </w:pPr>
      <w:r>
        <w:rPr>
          <w:rFonts w:hint="eastAsia" w:ascii="宋体" w:hAnsi="宋体"/>
          <w:sz w:val="24"/>
        </w:rPr>
        <w:t>受托人签名：                             受托人身份证号码：</w:t>
      </w:r>
    </w:p>
    <w:p w14:paraId="6F543323">
      <w:pPr>
        <w:autoSpaceDE w:val="0"/>
        <w:autoSpaceDN w:val="0"/>
        <w:adjustRightInd w:val="0"/>
        <w:spacing w:line="360" w:lineRule="auto"/>
        <w:jc w:val="left"/>
        <w:rPr>
          <w:rFonts w:ascii="宋体" w:hAnsi="宋体"/>
          <w:kern w:val="0"/>
          <w:sz w:val="24"/>
        </w:rPr>
      </w:pPr>
      <w:r>
        <w:rPr>
          <w:rFonts w:hint="eastAsia" w:ascii="宋体" w:hAnsi="宋体"/>
          <w:sz w:val="24"/>
        </w:rPr>
        <w:t xml:space="preserve">委托书有效期限：                         </w:t>
      </w:r>
      <w:r>
        <w:rPr>
          <w:rFonts w:hint="eastAsia" w:ascii="宋体" w:hAnsi="宋体"/>
          <w:kern w:val="0"/>
          <w:sz w:val="24"/>
        </w:rPr>
        <w:t>委托日期：</w:t>
      </w:r>
      <w:r>
        <w:rPr>
          <w:rFonts w:hint="eastAsia" w:ascii="宋体" w:hAnsi="宋体" w:cs="Arial"/>
          <w:kern w:val="0"/>
          <w:sz w:val="24"/>
          <w:lang w:val="en-US" w:eastAsia="zh-CN"/>
        </w:rPr>
        <w:t xml:space="preserve">    </w:t>
      </w:r>
      <w:r>
        <w:rPr>
          <w:rFonts w:hint="eastAsia" w:ascii="宋体" w:hAnsi="宋体"/>
          <w:kern w:val="0"/>
          <w:sz w:val="24"/>
        </w:rPr>
        <w:t>年    月    日</w:t>
      </w:r>
    </w:p>
    <w:p w14:paraId="74B011AB">
      <w:pPr>
        <w:spacing w:line="360" w:lineRule="auto"/>
        <w:rPr>
          <w:rFonts w:ascii="宋体" w:hAnsi="宋体"/>
          <w:szCs w:val="21"/>
        </w:rPr>
      </w:pPr>
      <w:r>
        <w:rPr>
          <w:rFonts w:hint="eastAsia" w:ascii="宋体" w:hAnsi="宋体" w:cs="Arial"/>
          <w:kern w:val="0"/>
          <w:szCs w:val="21"/>
        </w:rPr>
        <w:t>注：授权委托书剪报、复印或按以上格</w:t>
      </w:r>
      <w:bookmarkStart w:id="0" w:name="_GoBack"/>
      <w:bookmarkEnd w:id="0"/>
      <w:r>
        <w:rPr>
          <w:rFonts w:hint="eastAsia" w:ascii="宋体" w:hAnsi="宋体" w:cs="Arial"/>
          <w:kern w:val="0"/>
          <w:szCs w:val="21"/>
        </w:rPr>
        <w:t>式自制均有效；单位委托必须加盖单位公章。</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874E">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14:paraId="60765FD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NDkwZWZmZjM4MGI2Y2RmNjYzYjEzYThmNmY2YTQifQ=="/>
  </w:docVars>
  <w:rsids>
    <w:rsidRoot w:val="00C73DDA"/>
    <w:rsid w:val="00001AF9"/>
    <w:rsid w:val="00001CF9"/>
    <w:rsid w:val="00002784"/>
    <w:rsid w:val="00004C9B"/>
    <w:rsid w:val="0000791F"/>
    <w:rsid w:val="0001518C"/>
    <w:rsid w:val="000209A0"/>
    <w:rsid w:val="00021C57"/>
    <w:rsid w:val="000256B8"/>
    <w:rsid w:val="000268EA"/>
    <w:rsid w:val="000320F6"/>
    <w:rsid w:val="00054540"/>
    <w:rsid w:val="00054DDA"/>
    <w:rsid w:val="0006387E"/>
    <w:rsid w:val="0007445B"/>
    <w:rsid w:val="0007662C"/>
    <w:rsid w:val="000769BD"/>
    <w:rsid w:val="00083054"/>
    <w:rsid w:val="00084801"/>
    <w:rsid w:val="00086B87"/>
    <w:rsid w:val="0009251B"/>
    <w:rsid w:val="00092B23"/>
    <w:rsid w:val="00097A76"/>
    <w:rsid w:val="000A1263"/>
    <w:rsid w:val="000B221D"/>
    <w:rsid w:val="000B3656"/>
    <w:rsid w:val="000B7524"/>
    <w:rsid w:val="000B7652"/>
    <w:rsid w:val="000D05DD"/>
    <w:rsid w:val="000D2A4E"/>
    <w:rsid w:val="000D3577"/>
    <w:rsid w:val="000E01B7"/>
    <w:rsid w:val="000E714F"/>
    <w:rsid w:val="000F0BF0"/>
    <w:rsid w:val="000F29B3"/>
    <w:rsid w:val="000F2E83"/>
    <w:rsid w:val="000F473E"/>
    <w:rsid w:val="000F5291"/>
    <w:rsid w:val="000F6633"/>
    <w:rsid w:val="0010545E"/>
    <w:rsid w:val="00105E27"/>
    <w:rsid w:val="00106E06"/>
    <w:rsid w:val="00112D1E"/>
    <w:rsid w:val="00121133"/>
    <w:rsid w:val="00130714"/>
    <w:rsid w:val="00135ABA"/>
    <w:rsid w:val="00136165"/>
    <w:rsid w:val="00142838"/>
    <w:rsid w:val="00145575"/>
    <w:rsid w:val="00145965"/>
    <w:rsid w:val="00146B02"/>
    <w:rsid w:val="00147A3D"/>
    <w:rsid w:val="00151C44"/>
    <w:rsid w:val="00153E9C"/>
    <w:rsid w:val="00156630"/>
    <w:rsid w:val="00156913"/>
    <w:rsid w:val="00157562"/>
    <w:rsid w:val="001603AA"/>
    <w:rsid w:val="00162792"/>
    <w:rsid w:val="00164CC5"/>
    <w:rsid w:val="0016720F"/>
    <w:rsid w:val="001672D3"/>
    <w:rsid w:val="00172A2E"/>
    <w:rsid w:val="00176B44"/>
    <w:rsid w:val="00182D9F"/>
    <w:rsid w:val="001A2365"/>
    <w:rsid w:val="001A4D96"/>
    <w:rsid w:val="001A4E1A"/>
    <w:rsid w:val="001B4BF5"/>
    <w:rsid w:val="001C173F"/>
    <w:rsid w:val="001C3098"/>
    <w:rsid w:val="001D3975"/>
    <w:rsid w:val="001D3DD6"/>
    <w:rsid w:val="001E6173"/>
    <w:rsid w:val="001E6EB4"/>
    <w:rsid w:val="00220D72"/>
    <w:rsid w:val="0022228C"/>
    <w:rsid w:val="00226409"/>
    <w:rsid w:val="00235C69"/>
    <w:rsid w:val="00240F7E"/>
    <w:rsid w:val="00242183"/>
    <w:rsid w:val="00252163"/>
    <w:rsid w:val="0025296D"/>
    <w:rsid w:val="0026078E"/>
    <w:rsid w:val="002642D9"/>
    <w:rsid w:val="002664F0"/>
    <w:rsid w:val="0027022C"/>
    <w:rsid w:val="002777E0"/>
    <w:rsid w:val="002909ED"/>
    <w:rsid w:val="00291484"/>
    <w:rsid w:val="002A1F9F"/>
    <w:rsid w:val="002A50B3"/>
    <w:rsid w:val="002A51CF"/>
    <w:rsid w:val="002A55BC"/>
    <w:rsid w:val="002A5DE3"/>
    <w:rsid w:val="002C091C"/>
    <w:rsid w:val="002C1EBC"/>
    <w:rsid w:val="002C3AF4"/>
    <w:rsid w:val="002C3BBB"/>
    <w:rsid w:val="002C4118"/>
    <w:rsid w:val="002D4523"/>
    <w:rsid w:val="002D5108"/>
    <w:rsid w:val="002D6751"/>
    <w:rsid w:val="002D68E2"/>
    <w:rsid w:val="002E4E46"/>
    <w:rsid w:val="002E5FD6"/>
    <w:rsid w:val="002F7D9D"/>
    <w:rsid w:val="00300577"/>
    <w:rsid w:val="00303752"/>
    <w:rsid w:val="00311BF8"/>
    <w:rsid w:val="00321C03"/>
    <w:rsid w:val="00323B7D"/>
    <w:rsid w:val="003305A6"/>
    <w:rsid w:val="00330C05"/>
    <w:rsid w:val="00341D79"/>
    <w:rsid w:val="003437B8"/>
    <w:rsid w:val="00344E93"/>
    <w:rsid w:val="00353DD2"/>
    <w:rsid w:val="00356CEC"/>
    <w:rsid w:val="0035741A"/>
    <w:rsid w:val="00360C5C"/>
    <w:rsid w:val="00361463"/>
    <w:rsid w:val="00362680"/>
    <w:rsid w:val="00362F4C"/>
    <w:rsid w:val="00363B13"/>
    <w:rsid w:val="003661DB"/>
    <w:rsid w:val="00366F4B"/>
    <w:rsid w:val="00367507"/>
    <w:rsid w:val="00371060"/>
    <w:rsid w:val="00371C34"/>
    <w:rsid w:val="00375E9F"/>
    <w:rsid w:val="0038093A"/>
    <w:rsid w:val="003A5333"/>
    <w:rsid w:val="003C5297"/>
    <w:rsid w:val="003C6D75"/>
    <w:rsid w:val="003D34B4"/>
    <w:rsid w:val="003E21F8"/>
    <w:rsid w:val="003E307F"/>
    <w:rsid w:val="003E361A"/>
    <w:rsid w:val="003E49A5"/>
    <w:rsid w:val="003E53C0"/>
    <w:rsid w:val="003E598B"/>
    <w:rsid w:val="003F6C88"/>
    <w:rsid w:val="003F7127"/>
    <w:rsid w:val="00405818"/>
    <w:rsid w:val="00406BC3"/>
    <w:rsid w:val="004125EB"/>
    <w:rsid w:val="004142DB"/>
    <w:rsid w:val="00415868"/>
    <w:rsid w:val="00415C90"/>
    <w:rsid w:val="00421C77"/>
    <w:rsid w:val="004248F8"/>
    <w:rsid w:val="004333C2"/>
    <w:rsid w:val="004375DB"/>
    <w:rsid w:val="00437B62"/>
    <w:rsid w:val="004442D5"/>
    <w:rsid w:val="00445506"/>
    <w:rsid w:val="00447B8C"/>
    <w:rsid w:val="004540F0"/>
    <w:rsid w:val="004557F0"/>
    <w:rsid w:val="004566A2"/>
    <w:rsid w:val="00457E47"/>
    <w:rsid w:val="00462867"/>
    <w:rsid w:val="00465690"/>
    <w:rsid w:val="00465933"/>
    <w:rsid w:val="00473875"/>
    <w:rsid w:val="004830D4"/>
    <w:rsid w:val="00483101"/>
    <w:rsid w:val="00484DCF"/>
    <w:rsid w:val="004973C0"/>
    <w:rsid w:val="004B0013"/>
    <w:rsid w:val="004B0BD4"/>
    <w:rsid w:val="004B1FF6"/>
    <w:rsid w:val="004B350E"/>
    <w:rsid w:val="004C0687"/>
    <w:rsid w:val="004C0C2D"/>
    <w:rsid w:val="004C1A91"/>
    <w:rsid w:val="004C1D55"/>
    <w:rsid w:val="004C2F99"/>
    <w:rsid w:val="004C3B9E"/>
    <w:rsid w:val="004C3E41"/>
    <w:rsid w:val="004C5A16"/>
    <w:rsid w:val="004C79B1"/>
    <w:rsid w:val="004D1B22"/>
    <w:rsid w:val="004D2022"/>
    <w:rsid w:val="004D2B5F"/>
    <w:rsid w:val="004D4C9D"/>
    <w:rsid w:val="004D6A41"/>
    <w:rsid w:val="004E0F19"/>
    <w:rsid w:val="004E72A8"/>
    <w:rsid w:val="004F0354"/>
    <w:rsid w:val="00500331"/>
    <w:rsid w:val="00501B22"/>
    <w:rsid w:val="00513CB1"/>
    <w:rsid w:val="00515DC0"/>
    <w:rsid w:val="005200EC"/>
    <w:rsid w:val="0052234B"/>
    <w:rsid w:val="0053044C"/>
    <w:rsid w:val="00530745"/>
    <w:rsid w:val="00535B5C"/>
    <w:rsid w:val="00535FDB"/>
    <w:rsid w:val="00537F91"/>
    <w:rsid w:val="0054069D"/>
    <w:rsid w:val="00551F60"/>
    <w:rsid w:val="00555304"/>
    <w:rsid w:val="005567E4"/>
    <w:rsid w:val="00560030"/>
    <w:rsid w:val="005613D0"/>
    <w:rsid w:val="00561C28"/>
    <w:rsid w:val="005626B6"/>
    <w:rsid w:val="00563AE3"/>
    <w:rsid w:val="00573231"/>
    <w:rsid w:val="00574076"/>
    <w:rsid w:val="005741F0"/>
    <w:rsid w:val="005754E8"/>
    <w:rsid w:val="00580013"/>
    <w:rsid w:val="00580EC5"/>
    <w:rsid w:val="00584931"/>
    <w:rsid w:val="005874A6"/>
    <w:rsid w:val="005905CF"/>
    <w:rsid w:val="00597AD9"/>
    <w:rsid w:val="005A02DF"/>
    <w:rsid w:val="005A0853"/>
    <w:rsid w:val="005A1A25"/>
    <w:rsid w:val="005B2150"/>
    <w:rsid w:val="005B4D83"/>
    <w:rsid w:val="005B505E"/>
    <w:rsid w:val="005B6E9A"/>
    <w:rsid w:val="005C1B57"/>
    <w:rsid w:val="005C3869"/>
    <w:rsid w:val="005C69E4"/>
    <w:rsid w:val="005D4199"/>
    <w:rsid w:val="005E377B"/>
    <w:rsid w:val="005E4C60"/>
    <w:rsid w:val="005E65FD"/>
    <w:rsid w:val="005F2933"/>
    <w:rsid w:val="005F3B51"/>
    <w:rsid w:val="005F5ABC"/>
    <w:rsid w:val="005F709F"/>
    <w:rsid w:val="005F7366"/>
    <w:rsid w:val="0060278D"/>
    <w:rsid w:val="00604520"/>
    <w:rsid w:val="00606FD7"/>
    <w:rsid w:val="006107BA"/>
    <w:rsid w:val="00611757"/>
    <w:rsid w:val="00611CF7"/>
    <w:rsid w:val="00613253"/>
    <w:rsid w:val="0061329E"/>
    <w:rsid w:val="00616E98"/>
    <w:rsid w:val="006171D6"/>
    <w:rsid w:val="006179E7"/>
    <w:rsid w:val="00624127"/>
    <w:rsid w:val="00624BE8"/>
    <w:rsid w:val="006275E8"/>
    <w:rsid w:val="00627AAD"/>
    <w:rsid w:val="00633E5F"/>
    <w:rsid w:val="0063524B"/>
    <w:rsid w:val="00640305"/>
    <w:rsid w:val="00643E98"/>
    <w:rsid w:val="00645392"/>
    <w:rsid w:val="00645887"/>
    <w:rsid w:val="00651FDD"/>
    <w:rsid w:val="00653CE6"/>
    <w:rsid w:val="00656850"/>
    <w:rsid w:val="006612B2"/>
    <w:rsid w:val="006721DE"/>
    <w:rsid w:val="00686D09"/>
    <w:rsid w:val="00694307"/>
    <w:rsid w:val="00696972"/>
    <w:rsid w:val="006A26BB"/>
    <w:rsid w:val="006B2852"/>
    <w:rsid w:val="006B7A19"/>
    <w:rsid w:val="006B7ED4"/>
    <w:rsid w:val="006C10DC"/>
    <w:rsid w:val="006C6544"/>
    <w:rsid w:val="006D095A"/>
    <w:rsid w:val="006D1160"/>
    <w:rsid w:val="006D1350"/>
    <w:rsid w:val="006E1181"/>
    <w:rsid w:val="006E5C2B"/>
    <w:rsid w:val="006E5F7E"/>
    <w:rsid w:val="0070463A"/>
    <w:rsid w:val="00704E29"/>
    <w:rsid w:val="00707055"/>
    <w:rsid w:val="007157F5"/>
    <w:rsid w:val="00717435"/>
    <w:rsid w:val="00720583"/>
    <w:rsid w:val="00720914"/>
    <w:rsid w:val="0072105F"/>
    <w:rsid w:val="007402DA"/>
    <w:rsid w:val="007440F3"/>
    <w:rsid w:val="00746776"/>
    <w:rsid w:val="00747A5D"/>
    <w:rsid w:val="0075153D"/>
    <w:rsid w:val="00752125"/>
    <w:rsid w:val="00760B27"/>
    <w:rsid w:val="00764BE4"/>
    <w:rsid w:val="00770D32"/>
    <w:rsid w:val="00777795"/>
    <w:rsid w:val="00777C06"/>
    <w:rsid w:val="00780082"/>
    <w:rsid w:val="0078531E"/>
    <w:rsid w:val="007858F1"/>
    <w:rsid w:val="00790800"/>
    <w:rsid w:val="007940BB"/>
    <w:rsid w:val="00794DA0"/>
    <w:rsid w:val="007A3D0C"/>
    <w:rsid w:val="007A6958"/>
    <w:rsid w:val="007A74B5"/>
    <w:rsid w:val="007B0D55"/>
    <w:rsid w:val="007B2EED"/>
    <w:rsid w:val="007B69A1"/>
    <w:rsid w:val="007B7299"/>
    <w:rsid w:val="007C0767"/>
    <w:rsid w:val="007C0E3C"/>
    <w:rsid w:val="007C2A4F"/>
    <w:rsid w:val="007C379F"/>
    <w:rsid w:val="007D449D"/>
    <w:rsid w:val="007D462A"/>
    <w:rsid w:val="007D6035"/>
    <w:rsid w:val="007E06AA"/>
    <w:rsid w:val="007E5EEB"/>
    <w:rsid w:val="007F042A"/>
    <w:rsid w:val="007F0AC9"/>
    <w:rsid w:val="007F449A"/>
    <w:rsid w:val="007F6E89"/>
    <w:rsid w:val="00802F72"/>
    <w:rsid w:val="0081556D"/>
    <w:rsid w:val="00821E4F"/>
    <w:rsid w:val="00823071"/>
    <w:rsid w:val="00833B9E"/>
    <w:rsid w:val="00835499"/>
    <w:rsid w:val="00840848"/>
    <w:rsid w:val="008511D6"/>
    <w:rsid w:val="00860BAA"/>
    <w:rsid w:val="0086180B"/>
    <w:rsid w:val="0086408D"/>
    <w:rsid w:val="00866DBC"/>
    <w:rsid w:val="00867972"/>
    <w:rsid w:val="00867A44"/>
    <w:rsid w:val="00873D57"/>
    <w:rsid w:val="00887217"/>
    <w:rsid w:val="00896257"/>
    <w:rsid w:val="00897DA7"/>
    <w:rsid w:val="008A199C"/>
    <w:rsid w:val="008A6F49"/>
    <w:rsid w:val="008B226D"/>
    <w:rsid w:val="008B2E1C"/>
    <w:rsid w:val="008C1E8B"/>
    <w:rsid w:val="008C315E"/>
    <w:rsid w:val="008C5CA0"/>
    <w:rsid w:val="008D4607"/>
    <w:rsid w:val="008D62B8"/>
    <w:rsid w:val="008E0C0B"/>
    <w:rsid w:val="008F3144"/>
    <w:rsid w:val="008F3C16"/>
    <w:rsid w:val="008F7BE9"/>
    <w:rsid w:val="00902B9B"/>
    <w:rsid w:val="009052D2"/>
    <w:rsid w:val="009103F1"/>
    <w:rsid w:val="00911776"/>
    <w:rsid w:val="009117E7"/>
    <w:rsid w:val="00911819"/>
    <w:rsid w:val="00914E81"/>
    <w:rsid w:val="0091632B"/>
    <w:rsid w:val="00916975"/>
    <w:rsid w:val="0091703F"/>
    <w:rsid w:val="009171FC"/>
    <w:rsid w:val="00921C16"/>
    <w:rsid w:val="00922C7A"/>
    <w:rsid w:val="00922ECC"/>
    <w:rsid w:val="0092523B"/>
    <w:rsid w:val="00926E8D"/>
    <w:rsid w:val="00927962"/>
    <w:rsid w:val="00932C48"/>
    <w:rsid w:val="00932F22"/>
    <w:rsid w:val="00942676"/>
    <w:rsid w:val="00951848"/>
    <w:rsid w:val="009606BD"/>
    <w:rsid w:val="0096257C"/>
    <w:rsid w:val="00966C05"/>
    <w:rsid w:val="00971DFB"/>
    <w:rsid w:val="009723DF"/>
    <w:rsid w:val="00977BF0"/>
    <w:rsid w:val="009A52AA"/>
    <w:rsid w:val="009B43EE"/>
    <w:rsid w:val="009B4E59"/>
    <w:rsid w:val="009B666B"/>
    <w:rsid w:val="009D1A10"/>
    <w:rsid w:val="009D4983"/>
    <w:rsid w:val="009E28E6"/>
    <w:rsid w:val="009E6410"/>
    <w:rsid w:val="009E6A59"/>
    <w:rsid w:val="009F0B39"/>
    <w:rsid w:val="009F3048"/>
    <w:rsid w:val="009F4606"/>
    <w:rsid w:val="009F6761"/>
    <w:rsid w:val="00A01CF4"/>
    <w:rsid w:val="00A01DAE"/>
    <w:rsid w:val="00A102FE"/>
    <w:rsid w:val="00A1140C"/>
    <w:rsid w:val="00A11DC8"/>
    <w:rsid w:val="00A14540"/>
    <w:rsid w:val="00A159A4"/>
    <w:rsid w:val="00A16D40"/>
    <w:rsid w:val="00A21AB8"/>
    <w:rsid w:val="00A23B1F"/>
    <w:rsid w:val="00A24302"/>
    <w:rsid w:val="00A318DA"/>
    <w:rsid w:val="00A31AF8"/>
    <w:rsid w:val="00A32F9D"/>
    <w:rsid w:val="00A33D01"/>
    <w:rsid w:val="00A35895"/>
    <w:rsid w:val="00A35C2F"/>
    <w:rsid w:val="00A35E1B"/>
    <w:rsid w:val="00A35EA9"/>
    <w:rsid w:val="00A45034"/>
    <w:rsid w:val="00A46129"/>
    <w:rsid w:val="00A52255"/>
    <w:rsid w:val="00A53E60"/>
    <w:rsid w:val="00A549C6"/>
    <w:rsid w:val="00A55827"/>
    <w:rsid w:val="00A60167"/>
    <w:rsid w:val="00A61384"/>
    <w:rsid w:val="00A71018"/>
    <w:rsid w:val="00A75269"/>
    <w:rsid w:val="00A81FDD"/>
    <w:rsid w:val="00A83BF9"/>
    <w:rsid w:val="00A85E60"/>
    <w:rsid w:val="00A86BC7"/>
    <w:rsid w:val="00A90FA3"/>
    <w:rsid w:val="00A94F43"/>
    <w:rsid w:val="00AA39FF"/>
    <w:rsid w:val="00AB29B0"/>
    <w:rsid w:val="00AC62CA"/>
    <w:rsid w:val="00AC757C"/>
    <w:rsid w:val="00AD0B88"/>
    <w:rsid w:val="00AD0CB3"/>
    <w:rsid w:val="00AD36E4"/>
    <w:rsid w:val="00AD3F71"/>
    <w:rsid w:val="00AD64DC"/>
    <w:rsid w:val="00AD7377"/>
    <w:rsid w:val="00AE0058"/>
    <w:rsid w:val="00AE4C56"/>
    <w:rsid w:val="00AE623E"/>
    <w:rsid w:val="00AF1DD9"/>
    <w:rsid w:val="00AF5737"/>
    <w:rsid w:val="00B00178"/>
    <w:rsid w:val="00B0134E"/>
    <w:rsid w:val="00B0300A"/>
    <w:rsid w:val="00B1092F"/>
    <w:rsid w:val="00B11934"/>
    <w:rsid w:val="00B12A81"/>
    <w:rsid w:val="00B15177"/>
    <w:rsid w:val="00B20917"/>
    <w:rsid w:val="00B26049"/>
    <w:rsid w:val="00B310D1"/>
    <w:rsid w:val="00B32C52"/>
    <w:rsid w:val="00B3712F"/>
    <w:rsid w:val="00B45645"/>
    <w:rsid w:val="00B47F67"/>
    <w:rsid w:val="00B500FF"/>
    <w:rsid w:val="00B51627"/>
    <w:rsid w:val="00B562EB"/>
    <w:rsid w:val="00B57390"/>
    <w:rsid w:val="00B60DED"/>
    <w:rsid w:val="00B722EF"/>
    <w:rsid w:val="00B84653"/>
    <w:rsid w:val="00B85517"/>
    <w:rsid w:val="00B860E3"/>
    <w:rsid w:val="00B873F1"/>
    <w:rsid w:val="00B878F9"/>
    <w:rsid w:val="00B91CF4"/>
    <w:rsid w:val="00B960D7"/>
    <w:rsid w:val="00BA396B"/>
    <w:rsid w:val="00BA455F"/>
    <w:rsid w:val="00BA7420"/>
    <w:rsid w:val="00BB1705"/>
    <w:rsid w:val="00BB680B"/>
    <w:rsid w:val="00BD0317"/>
    <w:rsid w:val="00BE142A"/>
    <w:rsid w:val="00BF1B9D"/>
    <w:rsid w:val="00BF4A7F"/>
    <w:rsid w:val="00BF59C7"/>
    <w:rsid w:val="00C043B1"/>
    <w:rsid w:val="00C11DF5"/>
    <w:rsid w:val="00C20DE3"/>
    <w:rsid w:val="00C22F99"/>
    <w:rsid w:val="00C23D4B"/>
    <w:rsid w:val="00C2427B"/>
    <w:rsid w:val="00C256BE"/>
    <w:rsid w:val="00C3114D"/>
    <w:rsid w:val="00C317E8"/>
    <w:rsid w:val="00C379EE"/>
    <w:rsid w:val="00C413B9"/>
    <w:rsid w:val="00C41A3E"/>
    <w:rsid w:val="00C420F1"/>
    <w:rsid w:val="00C45FF7"/>
    <w:rsid w:val="00C478EC"/>
    <w:rsid w:val="00C50F0A"/>
    <w:rsid w:val="00C53B0D"/>
    <w:rsid w:val="00C56F7C"/>
    <w:rsid w:val="00C603D5"/>
    <w:rsid w:val="00C65222"/>
    <w:rsid w:val="00C73DDA"/>
    <w:rsid w:val="00C85622"/>
    <w:rsid w:val="00C935C4"/>
    <w:rsid w:val="00C94CC2"/>
    <w:rsid w:val="00CA0EB6"/>
    <w:rsid w:val="00CA2984"/>
    <w:rsid w:val="00CA336A"/>
    <w:rsid w:val="00CA4FD1"/>
    <w:rsid w:val="00CA76CF"/>
    <w:rsid w:val="00CB024F"/>
    <w:rsid w:val="00CB2A16"/>
    <w:rsid w:val="00CD1294"/>
    <w:rsid w:val="00CD3906"/>
    <w:rsid w:val="00CD54C5"/>
    <w:rsid w:val="00CE6D62"/>
    <w:rsid w:val="00CF32C4"/>
    <w:rsid w:val="00CF54D8"/>
    <w:rsid w:val="00D025FE"/>
    <w:rsid w:val="00D10A95"/>
    <w:rsid w:val="00D12980"/>
    <w:rsid w:val="00D12AB2"/>
    <w:rsid w:val="00D13925"/>
    <w:rsid w:val="00D14C83"/>
    <w:rsid w:val="00D15468"/>
    <w:rsid w:val="00D212CB"/>
    <w:rsid w:val="00D219F2"/>
    <w:rsid w:val="00D23FAA"/>
    <w:rsid w:val="00D24C3B"/>
    <w:rsid w:val="00D25702"/>
    <w:rsid w:val="00D27E15"/>
    <w:rsid w:val="00D36F92"/>
    <w:rsid w:val="00D45FBB"/>
    <w:rsid w:val="00D47927"/>
    <w:rsid w:val="00D50A9B"/>
    <w:rsid w:val="00D515C3"/>
    <w:rsid w:val="00D5427A"/>
    <w:rsid w:val="00D57041"/>
    <w:rsid w:val="00D71091"/>
    <w:rsid w:val="00D7191D"/>
    <w:rsid w:val="00D74CBE"/>
    <w:rsid w:val="00D93DAC"/>
    <w:rsid w:val="00D942AE"/>
    <w:rsid w:val="00DA0E71"/>
    <w:rsid w:val="00DB1967"/>
    <w:rsid w:val="00DB5464"/>
    <w:rsid w:val="00DC00C7"/>
    <w:rsid w:val="00DC1293"/>
    <w:rsid w:val="00DC2469"/>
    <w:rsid w:val="00DC5C5C"/>
    <w:rsid w:val="00DC722E"/>
    <w:rsid w:val="00DC7C26"/>
    <w:rsid w:val="00DD1CE7"/>
    <w:rsid w:val="00DE065F"/>
    <w:rsid w:val="00DE42F8"/>
    <w:rsid w:val="00DF5C17"/>
    <w:rsid w:val="00E03E6D"/>
    <w:rsid w:val="00E12E3B"/>
    <w:rsid w:val="00E17D67"/>
    <w:rsid w:val="00E200AB"/>
    <w:rsid w:val="00E2556F"/>
    <w:rsid w:val="00E30614"/>
    <w:rsid w:val="00E32DAA"/>
    <w:rsid w:val="00E35912"/>
    <w:rsid w:val="00E365A2"/>
    <w:rsid w:val="00E37475"/>
    <w:rsid w:val="00E46CB7"/>
    <w:rsid w:val="00E47831"/>
    <w:rsid w:val="00E506C1"/>
    <w:rsid w:val="00E51DD9"/>
    <w:rsid w:val="00E54F71"/>
    <w:rsid w:val="00E63541"/>
    <w:rsid w:val="00E644CE"/>
    <w:rsid w:val="00E67550"/>
    <w:rsid w:val="00E703EC"/>
    <w:rsid w:val="00E717EC"/>
    <w:rsid w:val="00E76CB2"/>
    <w:rsid w:val="00E8274A"/>
    <w:rsid w:val="00E82C48"/>
    <w:rsid w:val="00E84430"/>
    <w:rsid w:val="00E87B5D"/>
    <w:rsid w:val="00E91108"/>
    <w:rsid w:val="00E9174F"/>
    <w:rsid w:val="00EA12BD"/>
    <w:rsid w:val="00EA355C"/>
    <w:rsid w:val="00EA3B51"/>
    <w:rsid w:val="00EA7D0F"/>
    <w:rsid w:val="00EB2EA1"/>
    <w:rsid w:val="00EC5B9E"/>
    <w:rsid w:val="00EC6552"/>
    <w:rsid w:val="00EC7FB4"/>
    <w:rsid w:val="00ED0A98"/>
    <w:rsid w:val="00ED43A3"/>
    <w:rsid w:val="00ED6BF9"/>
    <w:rsid w:val="00EE00E9"/>
    <w:rsid w:val="00EF0688"/>
    <w:rsid w:val="00EF3A42"/>
    <w:rsid w:val="00EF4DAE"/>
    <w:rsid w:val="00EF5F4F"/>
    <w:rsid w:val="00EF5F75"/>
    <w:rsid w:val="00F01667"/>
    <w:rsid w:val="00F02811"/>
    <w:rsid w:val="00F03A85"/>
    <w:rsid w:val="00F040D8"/>
    <w:rsid w:val="00F048E6"/>
    <w:rsid w:val="00F06051"/>
    <w:rsid w:val="00F131C2"/>
    <w:rsid w:val="00F15016"/>
    <w:rsid w:val="00F21AE1"/>
    <w:rsid w:val="00F229A2"/>
    <w:rsid w:val="00F24AF1"/>
    <w:rsid w:val="00F25350"/>
    <w:rsid w:val="00F34B2B"/>
    <w:rsid w:val="00F37618"/>
    <w:rsid w:val="00F41466"/>
    <w:rsid w:val="00F44955"/>
    <w:rsid w:val="00F51086"/>
    <w:rsid w:val="00F666B5"/>
    <w:rsid w:val="00F667E4"/>
    <w:rsid w:val="00F70032"/>
    <w:rsid w:val="00F71B80"/>
    <w:rsid w:val="00F911B4"/>
    <w:rsid w:val="00F93577"/>
    <w:rsid w:val="00FA7F44"/>
    <w:rsid w:val="00FB0C2B"/>
    <w:rsid w:val="00FB1F1C"/>
    <w:rsid w:val="00FB467E"/>
    <w:rsid w:val="00FB5A3F"/>
    <w:rsid w:val="00FB60D8"/>
    <w:rsid w:val="00FB6A15"/>
    <w:rsid w:val="00FB6D97"/>
    <w:rsid w:val="00FB7658"/>
    <w:rsid w:val="00FD3A12"/>
    <w:rsid w:val="00FD4CFC"/>
    <w:rsid w:val="00FE3F84"/>
    <w:rsid w:val="00FE5599"/>
    <w:rsid w:val="00FE6766"/>
    <w:rsid w:val="00FF0C44"/>
    <w:rsid w:val="09850E25"/>
    <w:rsid w:val="0D2B1578"/>
    <w:rsid w:val="0F211997"/>
    <w:rsid w:val="153C1438"/>
    <w:rsid w:val="1C20380C"/>
    <w:rsid w:val="1D984E8E"/>
    <w:rsid w:val="1DD7336E"/>
    <w:rsid w:val="24BA3F1F"/>
    <w:rsid w:val="27FC1AA1"/>
    <w:rsid w:val="287068BF"/>
    <w:rsid w:val="2F8F53F2"/>
    <w:rsid w:val="30FC7904"/>
    <w:rsid w:val="355956E0"/>
    <w:rsid w:val="38150740"/>
    <w:rsid w:val="39D1237C"/>
    <w:rsid w:val="3AEF3D95"/>
    <w:rsid w:val="3BDF1D94"/>
    <w:rsid w:val="3C6E1B67"/>
    <w:rsid w:val="3CC50061"/>
    <w:rsid w:val="3E3F0741"/>
    <w:rsid w:val="41126F23"/>
    <w:rsid w:val="43223FA5"/>
    <w:rsid w:val="4522070C"/>
    <w:rsid w:val="46896C48"/>
    <w:rsid w:val="47EE075A"/>
    <w:rsid w:val="493845F2"/>
    <w:rsid w:val="49CD6D8C"/>
    <w:rsid w:val="4B7B52E3"/>
    <w:rsid w:val="4D4A5398"/>
    <w:rsid w:val="4ED049EA"/>
    <w:rsid w:val="4FB81E68"/>
    <w:rsid w:val="51FB124A"/>
    <w:rsid w:val="53A47D69"/>
    <w:rsid w:val="547408E3"/>
    <w:rsid w:val="585E07FD"/>
    <w:rsid w:val="59327D25"/>
    <w:rsid w:val="594029F5"/>
    <w:rsid w:val="5AD9142F"/>
    <w:rsid w:val="5C8B651F"/>
    <w:rsid w:val="63A43C88"/>
    <w:rsid w:val="66640B1E"/>
    <w:rsid w:val="671F2199"/>
    <w:rsid w:val="6DCC5AA5"/>
    <w:rsid w:val="700B52DF"/>
    <w:rsid w:val="71931A12"/>
    <w:rsid w:val="71B77F4D"/>
    <w:rsid w:val="725676CF"/>
    <w:rsid w:val="72582928"/>
    <w:rsid w:val="75365CB7"/>
    <w:rsid w:val="76B1792B"/>
    <w:rsid w:val="7ED45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1"/>
    <w:autoRedefine/>
    <w:qFormat/>
    <w:uiPriority w:val="0"/>
    <w:rPr>
      <w:rFonts w:ascii="宋体"/>
      <w:sz w:val="18"/>
      <w:szCs w:val="18"/>
    </w:r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firstLine="540"/>
    </w:pPr>
    <w:rPr>
      <w:sz w:val="28"/>
      <w:szCs w:val="20"/>
    </w:rPr>
  </w:style>
  <w:style w:type="paragraph" w:styleId="5">
    <w:name w:val="Date"/>
    <w:basedOn w:val="1"/>
    <w:next w:val="1"/>
    <w:autoRedefine/>
    <w:qFormat/>
    <w:uiPriority w:val="0"/>
    <w:pPr>
      <w:ind w:left="100" w:leftChars="250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autoRedefine/>
    <w:semiHidden/>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autoRedefine/>
    <w:semiHidden/>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0"/>
    <w:rPr>
      <w:color w:val="0000FF"/>
      <w:u w:val="single"/>
    </w:rPr>
  </w:style>
  <w:style w:type="character" w:styleId="15">
    <w:name w:val="annotation reference"/>
    <w:autoRedefine/>
    <w:semiHidden/>
    <w:qFormat/>
    <w:uiPriority w:val="0"/>
    <w:rPr>
      <w:sz w:val="21"/>
      <w:szCs w:val="21"/>
    </w:rPr>
  </w:style>
  <w:style w:type="paragraph" w:customStyle="1" w:styleId="16">
    <w:name w:val="Char"/>
    <w:basedOn w:val="1"/>
    <w:autoRedefine/>
    <w:qFormat/>
    <w:uiPriority w:val="0"/>
    <w:pPr>
      <w:tabs>
        <w:tab w:val="left" w:pos="360"/>
      </w:tabs>
    </w:pPr>
    <w:rPr>
      <w:szCs w:val="20"/>
    </w:rPr>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脚 字符"/>
    <w:link w:val="8"/>
    <w:autoRedefine/>
    <w:qFormat/>
    <w:uiPriority w:val="99"/>
    <w:rPr>
      <w:kern w:val="2"/>
      <w:sz w:val="18"/>
      <w:szCs w:val="18"/>
    </w:rPr>
  </w:style>
  <w:style w:type="paragraph" w:styleId="19">
    <w:name w:val="List Paragraph"/>
    <w:basedOn w:val="1"/>
    <w:autoRedefine/>
    <w:qFormat/>
    <w:uiPriority w:val="34"/>
    <w:pPr>
      <w:ind w:firstLine="420" w:firstLineChars="200"/>
    </w:pPr>
  </w:style>
  <w:style w:type="paragraph" w:customStyle="1" w:styleId="20">
    <w:name w:val="7一创摩根正文"/>
    <w:basedOn w:val="1"/>
    <w:autoRedefine/>
    <w:qFormat/>
    <w:uiPriority w:val="0"/>
    <w:pPr>
      <w:widowControl/>
      <w:spacing w:before="120" w:line="360" w:lineRule="auto"/>
      <w:ind w:firstLine="200" w:firstLineChars="200"/>
    </w:pPr>
    <w:rPr>
      <w:rFonts w:ascii="Arial" w:hAnsi="Arial"/>
      <w:kern w:val="0"/>
      <w:sz w:val="24"/>
      <w:szCs w:val="22"/>
    </w:rPr>
  </w:style>
  <w:style w:type="character" w:customStyle="1" w:styleId="21">
    <w:name w:val="文档结构图 字符"/>
    <w:link w:val="2"/>
    <w:autoRedefine/>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2533</Words>
  <Characters>2863</Characters>
  <Lines>24</Lines>
  <Paragraphs>6</Paragraphs>
  <TotalTime>1</TotalTime>
  <ScaleCrop>false</ScaleCrop>
  <LinksUpToDate>false</LinksUpToDate>
  <CharactersWithSpaces>3102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2023-11-10T08:16:00Z</dcterms:created>
  <dc:creator>Administrator</dc:creator>
  <cp:lastModifiedBy>P YF</cp:lastModifiedBy>
  <cp:lastPrinted>2023-09-28T05:45:00Z</cp:lastPrinted>
  <dcterms:modified xsi:type="dcterms:W3CDTF">2025-02-12T06:02:50Z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31CDCAD5A044444DA63819216825C213_13</vt:lpwstr>
  </property>
  <property fmtid="{D5CDD505-2E9C-101B-9397-08002B2CF9AE}" pid="4" name="KSOTemplateDocerSaveRecord">
    <vt:lpwstr>eyJoZGlkIjoiYzNjNDkwZWZmZjM4MGI2Y2RmNjYzYjEzYThmNmY2YTQiLCJ1c2VySWQiOiIyMTAwNzI1NjMifQ==</vt:lpwstr>
  </property>
</Properties>
</file>